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C" w:rsidRPr="002C0BF1" w:rsidRDefault="009424FA" w:rsidP="00942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C0BF1">
        <w:rPr>
          <w:rFonts w:ascii="Arial" w:hAnsi="Arial" w:cs="Arial"/>
          <w:b/>
          <w:bCs/>
          <w:sz w:val="28"/>
          <w:szCs w:val="28"/>
        </w:rPr>
        <w:t xml:space="preserve">Cerámicas </w:t>
      </w:r>
      <w:proofErr w:type="spellStart"/>
      <w:r w:rsidRPr="002C0BF1">
        <w:rPr>
          <w:rFonts w:ascii="Arial" w:hAnsi="Arial" w:cs="Arial"/>
          <w:b/>
          <w:bCs/>
          <w:sz w:val="28"/>
          <w:szCs w:val="28"/>
        </w:rPr>
        <w:t>ferroeléctricas</w:t>
      </w:r>
      <w:proofErr w:type="spellEnd"/>
      <w:r w:rsidRPr="002C0BF1">
        <w:rPr>
          <w:rFonts w:ascii="Arial" w:hAnsi="Arial" w:cs="Arial"/>
          <w:b/>
          <w:bCs/>
          <w:sz w:val="28"/>
          <w:szCs w:val="28"/>
        </w:rPr>
        <w:t xml:space="preserve"> libres de plomo: sistemas funcionales que consideran la protección del medio ambiente</w:t>
      </w: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C0BF1">
        <w:rPr>
          <w:rFonts w:ascii="Arial" w:hAnsi="Arial" w:cs="Arial"/>
          <w:b/>
          <w:sz w:val="24"/>
          <w:szCs w:val="24"/>
        </w:rPr>
        <w:t>Autoría</w:t>
      </w:r>
      <w:r w:rsidRPr="002C0BF1">
        <w:rPr>
          <w:rFonts w:ascii="Arial" w:hAnsi="Arial" w:cs="Arial"/>
          <w:b/>
        </w:rPr>
        <w:t xml:space="preserve"> principal</w:t>
      </w:r>
    </w:p>
    <w:p w:rsidR="00A422DC" w:rsidRPr="002C0BF1" w:rsidRDefault="009424FA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</w:rPr>
      </w:pPr>
      <w:r w:rsidRPr="002C0BF1">
        <w:rPr>
          <w:rFonts w:ascii="Arial" w:hAnsi="Arial" w:cs="Arial"/>
          <w:b/>
          <w:noProof/>
        </w:rPr>
        <w:t>Yuslín González Abreu</w:t>
      </w:r>
      <w:r w:rsidR="00B23DCA" w:rsidRPr="002C0BF1">
        <w:rPr>
          <w:rFonts w:ascii="Arial" w:hAnsi="Arial" w:cs="Arial"/>
          <w:b/>
          <w:noProof/>
          <w:vertAlign w:val="superscript"/>
        </w:rPr>
        <w:t>1</w:t>
      </w:r>
      <w:r w:rsidRPr="002C0BF1">
        <w:rPr>
          <w:rFonts w:ascii="Arial" w:hAnsi="Arial" w:cs="Arial"/>
          <w:b/>
          <w:noProof/>
        </w:rPr>
        <w:t>.</w:t>
      </w: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Otros autores</w:t>
      </w:r>
    </w:p>
    <w:p w:rsidR="009424FA" w:rsidRPr="002C0BF1" w:rsidRDefault="009424FA" w:rsidP="009424FA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2C0BF1">
        <w:rPr>
          <w:rFonts w:ascii="Arial" w:hAnsi="Arial" w:cs="Arial"/>
          <w:b/>
          <w:noProof/>
        </w:rPr>
        <w:t>Aimé Peláiz Barranco</w:t>
      </w:r>
      <w:r w:rsidRPr="002C0BF1">
        <w:rPr>
          <w:rFonts w:ascii="Arial" w:hAnsi="Arial" w:cs="Arial"/>
          <w:b/>
          <w:noProof/>
          <w:vertAlign w:val="superscript"/>
        </w:rPr>
        <w:t>1</w:t>
      </w:r>
      <w:r w:rsidRPr="002C0BF1">
        <w:rPr>
          <w:rFonts w:ascii="Arial" w:hAnsi="Arial" w:cs="Arial"/>
          <w:b/>
          <w:noProof/>
        </w:rPr>
        <w:t>, José de los Santos Guerra</w:t>
      </w:r>
      <w:r w:rsidR="005268FA" w:rsidRPr="002C0BF1">
        <w:rPr>
          <w:rFonts w:ascii="Arial" w:hAnsi="Arial" w:cs="Arial"/>
          <w:b/>
          <w:noProof/>
          <w:vertAlign w:val="superscript"/>
        </w:rPr>
        <w:t>2</w:t>
      </w:r>
      <w:r w:rsidR="005268FA" w:rsidRPr="002C0BF1">
        <w:rPr>
          <w:rFonts w:ascii="Arial" w:hAnsi="Arial" w:cs="Arial"/>
          <w:b/>
          <w:noProof/>
        </w:rPr>
        <w:t xml:space="preserve">, </w:t>
      </w:r>
      <w:r w:rsidRPr="002C0BF1">
        <w:rPr>
          <w:rFonts w:ascii="Arial" w:hAnsi="Arial" w:cs="Arial"/>
          <w:b/>
          <w:noProof/>
        </w:rPr>
        <w:t>Pierre Saint-Grégoire</w:t>
      </w:r>
      <w:r w:rsidR="005268FA" w:rsidRPr="002C0BF1">
        <w:rPr>
          <w:rFonts w:ascii="Arial" w:hAnsi="Arial" w:cs="Arial"/>
          <w:b/>
          <w:noProof/>
          <w:vertAlign w:val="superscript"/>
        </w:rPr>
        <w:t>3</w:t>
      </w:r>
      <w:r w:rsidRPr="002C0BF1">
        <w:rPr>
          <w:rFonts w:ascii="Arial" w:hAnsi="Arial" w:cs="Arial"/>
          <w:b/>
          <w:noProof/>
        </w:rPr>
        <w:t>, Francisco Calderón Piñar</w:t>
      </w:r>
      <w:r w:rsidR="005268FA" w:rsidRPr="002C0BF1">
        <w:rPr>
          <w:rFonts w:ascii="Arial" w:hAnsi="Arial" w:cs="Arial"/>
          <w:b/>
          <w:noProof/>
          <w:vertAlign w:val="superscript"/>
        </w:rPr>
        <w:t>4</w:t>
      </w:r>
      <w:r w:rsidRPr="002C0BF1">
        <w:rPr>
          <w:rFonts w:ascii="Arial" w:hAnsi="Arial" w:cs="Arial"/>
          <w:b/>
          <w:noProof/>
        </w:rPr>
        <w:t>, Osmany García Zaldívar</w:t>
      </w:r>
      <w:r w:rsidR="005268FA" w:rsidRPr="002C0BF1">
        <w:rPr>
          <w:rFonts w:ascii="Arial" w:hAnsi="Arial" w:cs="Arial"/>
          <w:b/>
          <w:noProof/>
          <w:vertAlign w:val="superscript"/>
        </w:rPr>
        <w:t>4</w:t>
      </w:r>
      <w:r w:rsidRPr="002C0BF1">
        <w:rPr>
          <w:rFonts w:ascii="Arial" w:hAnsi="Arial" w:cs="Arial"/>
          <w:b/>
          <w:noProof/>
        </w:rPr>
        <w:t>,  Arbelio Pentón Madrigal</w:t>
      </w:r>
      <w:r w:rsidRPr="002C0BF1">
        <w:rPr>
          <w:rFonts w:ascii="Arial" w:hAnsi="Arial" w:cs="Arial"/>
          <w:b/>
          <w:noProof/>
          <w:vertAlign w:val="superscript"/>
        </w:rPr>
        <w:t>1</w:t>
      </w:r>
      <w:r w:rsidRPr="002C0BF1">
        <w:rPr>
          <w:rFonts w:ascii="Arial" w:hAnsi="Arial" w:cs="Arial"/>
          <w:b/>
          <w:noProof/>
        </w:rPr>
        <w:t>, Yaovi Gaogou</w:t>
      </w:r>
      <w:r w:rsidR="005268FA" w:rsidRPr="002C0BF1">
        <w:rPr>
          <w:rFonts w:ascii="Arial" w:hAnsi="Arial" w:cs="Arial"/>
          <w:b/>
          <w:noProof/>
          <w:vertAlign w:val="superscript"/>
        </w:rPr>
        <w:t>5</w:t>
      </w:r>
      <w:r w:rsidRPr="002C0BF1">
        <w:rPr>
          <w:rFonts w:ascii="Arial" w:hAnsi="Arial" w:cs="Arial"/>
          <w:b/>
          <w:noProof/>
        </w:rPr>
        <w:t xml:space="preserve">, </w:t>
      </w:r>
    </w:p>
    <w:p w:rsidR="009424FA" w:rsidRPr="002C0BF1" w:rsidRDefault="009424FA" w:rsidP="009424FA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2C0BF1">
        <w:rPr>
          <w:rFonts w:ascii="Arial" w:hAnsi="Arial" w:cs="Arial"/>
          <w:b/>
          <w:noProof/>
        </w:rPr>
        <w:t>Alexis Carlos García Wong</w:t>
      </w:r>
      <w:r w:rsidRPr="002C0BF1">
        <w:rPr>
          <w:rFonts w:ascii="Arial" w:hAnsi="Arial" w:cs="Arial"/>
          <w:b/>
          <w:noProof/>
          <w:vertAlign w:val="superscript"/>
        </w:rPr>
        <w:t>1</w:t>
      </w:r>
      <w:r w:rsidR="00B23DCA" w:rsidRPr="002C0BF1">
        <w:rPr>
          <w:rFonts w:ascii="Arial" w:hAnsi="Arial" w:cs="Arial"/>
          <w:b/>
          <w:noProof/>
        </w:rPr>
        <w:t>.</w:t>
      </w:r>
    </w:p>
    <w:p w:rsidR="00A422DC" w:rsidRPr="002C0BF1" w:rsidRDefault="00A422DC" w:rsidP="00A422DC">
      <w:pPr>
        <w:spacing w:after="0" w:line="240" w:lineRule="auto"/>
        <w:jc w:val="both"/>
        <w:rPr>
          <w:rFonts w:ascii="Arial" w:hAnsi="Arial" w:cs="Arial"/>
          <w:b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Colaboradores</w:t>
      </w:r>
    </w:p>
    <w:p w:rsidR="00D63093" w:rsidRPr="002C0BF1" w:rsidRDefault="00D63093" w:rsidP="00D6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F1">
        <w:rPr>
          <w:rFonts w:ascii="Arial" w:hAnsi="Arial" w:cs="Arial"/>
        </w:rPr>
        <w:t xml:space="preserve"> </w:t>
      </w:r>
      <w:proofErr w:type="spellStart"/>
      <w:r w:rsidRPr="002C0BF1">
        <w:rPr>
          <w:rFonts w:ascii="Arial" w:hAnsi="Arial" w:cs="Arial"/>
        </w:rPr>
        <w:t>MSc.</w:t>
      </w:r>
      <w:proofErr w:type="spellEnd"/>
      <w:r w:rsidRPr="002C0BF1">
        <w:rPr>
          <w:rFonts w:ascii="Arial" w:hAnsi="Arial" w:cs="Arial"/>
        </w:rPr>
        <w:t xml:space="preserve"> </w:t>
      </w:r>
      <w:proofErr w:type="spellStart"/>
      <w:r w:rsidRPr="002C0BF1">
        <w:rPr>
          <w:rFonts w:ascii="Arial" w:hAnsi="Arial" w:cs="Arial"/>
        </w:rPr>
        <w:t>Yanela</w:t>
      </w:r>
      <w:proofErr w:type="spellEnd"/>
      <w:r w:rsidRPr="002C0BF1">
        <w:rPr>
          <w:rFonts w:ascii="Arial" w:hAnsi="Arial" w:cs="Arial"/>
        </w:rPr>
        <w:t xml:space="preserve"> Méndez González</w:t>
      </w:r>
      <w:r w:rsidRPr="002C0BF1">
        <w:rPr>
          <w:rFonts w:ascii="Arial" w:hAnsi="Arial" w:cs="Arial"/>
          <w:noProof/>
          <w:vertAlign w:val="superscript"/>
        </w:rPr>
        <w:t>6</w:t>
      </w:r>
      <w:r w:rsidRPr="002C0BF1">
        <w:rPr>
          <w:rFonts w:ascii="Arial" w:hAnsi="Arial" w:cs="Arial"/>
        </w:rPr>
        <w:t>, C. A. Guarany</w:t>
      </w:r>
      <w:r w:rsidRPr="002C0BF1">
        <w:rPr>
          <w:rFonts w:ascii="Arial" w:hAnsi="Arial" w:cs="Arial"/>
          <w:noProof/>
          <w:vertAlign w:val="superscript"/>
        </w:rPr>
        <w:t>2</w:t>
      </w:r>
      <w:r w:rsidRPr="002C0BF1">
        <w:rPr>
          <w:rFonts w:ascii="Arial" w:hAnsi="Arial" w:cs="Arial"/>
        </w:rPr>
        <w:t>,  I. C. Reis</w:t>
      </w:r>
      <w:r w:rsidRPr="002C0BF1">
        <w:rPr>
          <w:rFonts w:ascii="Arial" w:hAnsi="Arial" w:cs="Arial"/>
          <w:noProof/>
          <w:vertAlign w:val="superscript"/>
        </w:rPr>
        <w:t>2</w:t>
      </w:r>
      <w:r w:rsidRPr="002C0BF1">
        <w:rPr>
          <w:rFonts w:ascii="Arial" w:hAnsi="Arial" w:cs="Arial"/>
        </w:rPr>
        <w:t>, Dra. Beatriz Concepción Rosabal</w:t>
      </w:r>
      <w:r w:rsidRPr="002C0BF1">
        <w:rPr>
          <w:rFonts w:ascii="Arial" w:hAnsi="Arial" w:cs="Arial"/>
          <w:noProof/>
          <w:vertAlign w:val="superscript"/>
        </w:rPr>
        <w:t>4</w:t>
      </w:r>
      <w:r w:rsidRPr="002C0BF1">
        <w:rPr>
          <w:rFonts w:ascii="Arial" w:hAnsi="Arial" w:cs="Arial"/>
        </w:rPr>
        <w:t xml:space="preserve">, Dr. </w:t>
      </w:r>
      <w:proofErr w:type="spellStart"/>
      <w:r w:rsidRPr="002C0BF1">
        <w:rPr>
          <w:rFonts w:ascii="Arial" w:hAnsi="Arial" w:cs="Arial"/>
        </w:rPr>
        <w:t>Eudes</w:t>
      </w:r>
      <w:proofErr w:type="spellEnd"/>
      <w:r w:rsidRPr="002C0BF1">
        <w:rPr>
          <w:rFonts w:ascii="Arial" w:hAnsi="Arial" w:cs="Arial"/>
        </w:rPr>
        <w:t xml:space="preserve"> Borges Araújo</w:t>
      </w:r>
      <w:r w:rsidR="0010715A" w:rsidRPr="002C0BF1">
        <w:rPr>
          <w:rFonts w:ascii="Arial" w:hAnsi="Arial" w:cs="Arial"/>
          <w:noProof/>
          <w:vertAlign w:val="superscript"/>
        </w:rPr>
        <w:t>7</w:t>
      </w:r>
      <w:r w:rsidR="0010715A" w:rsidRPr="002C0BF1">
        <w:rPr>
          <w:rFonts w:ascii="Arial" w:hAnsi="Arial" w:cs="Arial"/>
        </w:rPr>
        <w:t xml:space="preserve">.  </w:t>
      </w:r>
    </w:p>
    <w:p w:rsidR="00D63093" w:rsidRPr="002C0BF1" w:rsidRDefault="00D63093" w:rsidP="00D6309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Entidad ejecutora principal</w:t>
      </w: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F1">
        <w:rPr>
          <w:rFonts w:ascii="Arial" w:hAnsi="Arial" w:cs="Arial"/>
          <w:vertAlign w:val="superscript"/>
        </w:rPr>
        <w:t>1</w:t>
      </w:r>
      <w:r w:rsidR="009424FA" w:rsidRPr="002C0BF1">
        <w:rPr>
          <w:rFonts w:ascii="Arial" w:hAnsi="Arial" w:cs="Arial"/>
        </w:rPr>
        <w:t>Facultad de Física, Universidad de la Habana.</w:t>
      </w: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Entidades participantes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vertAlign w:val="superscript"/>
        </w:rPr>
      </w:pPr>
      <w:r w:rsidRPr="002C0BF1">
        <w:rPr>
          <w:rFonts w:ascii="Arial" w:hAnsi="Arial" w:cs="Arial"/>
          <w:noProof/>
          <w:vertAlign w:val="superscript"/>
        </w:rPr>
        <w:t>2</w:t>
      </w:r>
      <w:r w:rsidRPr="002C0BF1">
        <w:rPr>
          <w:rFonts w:ascii="Arial" w:hAnsi="Arial" w:cs="Arial"/>
          <w:noProof/>
        </w:rPr>
        <w:t>Instituto de Física, Universidad Federal de Uberlândia, Brasil.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2C0BF1">
        <w:rPr>
          <w:rFonts w:ascii="Arial" w:hAnsi="Arial" w:cs="Arial"/>
          <w:noProof/>
          <w:vertAlign w:val="superscript"/>
        </w:rPr>
        <w:t>3</w:t>
      </w:r>
      <w:r w:rsidRPr="002C0BF1">
        <w:rPr>
          <w:rFonts w:ascii="Arial" w:hAnsi="Arial" w:cs="Arial"/>
          <w:noProof/>
        </w:rPr>
        <w:t>Universidad de Nîmes, Francia.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2C0BF1">
        <w:rPr>
          <w:rFonts w:ascii="Arial" w:hAnsi="Arial" w:cs="Arial"/>
          <w:noProof/>
          <w:vertAlign w:val="superscript"/>
        </w:rPr>
        <w:t>4</w:t>
      </w:r>
      <w:r w:rsidRPr="002C0BF1">
        <w:rPr>
          <w:rFonts w:ascii="Arial" w:hAnsi="Arial" w:cs="Arial"/>
          <w:noProof/>
        </w:rPr>
        <w:t>IMRE, Universidad de La Habana.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2C0BF1">
        <w:rPr>
          <w:rFonts w:ascii="Arial" w:hAnsi="Arial" w:cs="Arial"/>
          <w:noProof/>
          <w:vertAlign w:val="superscript"/>
        </w:rPr>
        <w:t>5</w:t>
      </w:r>
      <w:r w:rsidRPr="002C0BF1">
        <w:rPr>
          <w:rFonts w:ascii="Arial" w:hAnsi="Arial" w:cs="Arial"/>
          <w:noProof/>
        </w:rPr>
        <w:t>University of Picardie Jules Verne, Francia.</w:t>
      </w:r>
    </w:p>
    <w:p w:rsidR="00D63093" w:rsidRPr="002C0BF1" w:rsidRDefault="00D63093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2C0BF1">
        <w:rPr>
          <w:rFonts w:ascii="Arial" w:hAnsi="Arial" w:cs="Arial"/>
          <w:noProof/>
          <w:vertAlign w:val="superscript"/>
        </w:rPr>
        <w:t>6</w:t>
      </w:r>
      <w:r w:rsidRPr="002C0BF1">
        <w:rPr>
          <w:rFonts w:ascii="Arial" w:hAnsi="Arial" w:cs="Arial"/>
          <w:noProof/>
        </w:rPr>
        <w:t>Instituto de Cibernética, Matemática y Física (ICIMAF).</w:t>
      </w:r>
    </w:p>
    <w:p w:rsidR="0010715A" w:rsidRPr="002C0BF1" w:rsidRDefault="0010715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2C0BF1">
        <w:rPr>
          <w:rFonts w:ascii="Arial" w:hAnsi="Arial" w:cs="Arial"/>
          <w:noProof/>
          <w:vertAlign w:val="superscript"/>
        </w:rPr>
        <w:t>7</w:t>
      </w:r>
      <w:r w:rsidRPr="002C0BF1">
        <w:rPr>
          <w:rFonts w:ascii="Arial" w:hAnsi="Arial" w:cs="Arial"/>
        </w:rPr>
        <w:t xml:space="preserve">Universidad Estadual Paulista, </w:t>
      </w:r>
      <w:proofErr w:type="spellStart"/>
      <w:r w:rsidRPr="002C0BF1">
        <w:rPr>
          <w:rFonts w:ascii="Arial" w:hAnsi="Arial" w:cs="Arial"/>
        </w:rPr>
        <w:t>Ilha</w:t>
      </w:r>
      <w:proofErr w:type="spellEnd"/>
      <w:r w:rsidRPr="002C0BF1">
        <w:rPr>
          <w:rFonts w:ascii="Arial" w:hAnsi="Arial" w:cs="Arial"/>
        </w:rPr>
        <w:t xml:space="preserve"> </w:t>
      </w:r>
      <w:proofErr w:type="spellStart"/>
      <w:r w:rsidRPr="002C0BF1">
        <w:rPr>
          <w:rFonts w:ascii="Arial" w:hAnsi="Arial" w:cs="Arial"/>
        </w:rPr>
        <w:t>Solteira</w:t>
      </w:r>
      <w:proofErr w:type="spellEnd"/>
      <w:r w:rsidRPr="002C0BF1">
        <w:rPr>
          <w:rFonts w:ascii="Arial" w:hAnsi="Arial" w:cs="Arial"/>
        </w:rPr>
        <w:t>-SP, Brasil.</w:t>
      </w: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Autor para correspondencia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F1">
        <w:rPr>
          <w:rFonts w:ascii="Arial" w:hAnsi="Arial" w:cs="Arial"/>
        </w:rPr>
        <w:t xml:space="preserve">Dra. </w:t>
      </w:r>
      <w:proofErr w:type="spellStart"/>
      <w:r w:rsidRPr="002C0BF1">
        <w:rPr>
          <w:rFonts w:ascii="Arial" w:hAnsi="Arial" w:cs="Arial"/>
        </w:rPr>
        <w:t>Yuslín</w:t>
      </w:r>
      <w:proofErr w:type="spellEnd"/>
      <w:r w:rsidRPr="002C0BF1">
        <w:rPr>
          <w:rFonts w:ascii="Arial" w:hAnsi="Arial" w:cs="Arial"/>
        </w:rPr>
        <w:t xml:space="preserve"> González Abreu. Facultad de Física, Universidad de La Habana.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F1">
        <w:rPr>
          <w:rFonts w:ascii="Arial" w:hAnsi="Arial" w:cs="Arial"/>
        </w:rPr>
        <w:t xml:space="preserve">San Lázaro y L, Vedado. La Habana 10400. Teléfono: 8790743. </w:t>
      </w:r>
    </w:p>
    <w:p w:rsidR="005268FA" w:rsidRPr="002C0BF1" w:rsidRDefault="005268FA" w:rsidP="00526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0BF1">
        <w:rPr>
          <w:rFonts w:ascii="Arial" w:hAnsi="Arial" w:cs="Arial"/>
        </w:rPr>
        <w:t>Email: yusling@fisica.uh.cu</w:t>
      </w: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22DC" w:rsidRPr="002C0BF1" w:rsidRDefault="00A422DC" w:rsidP="00A422DC">
      <w:pPr>
        <w:spacing w:after="0" w:line="240" w:lineRule="auto"/>
        <w:jc w:val="both"/>
        <w:rPr>
          <w:rFonts w:ascii="ArialNarrow-Bold" w:hAnsi="ArialNarrow-Bold" w:cs="ArialNarrow-Bold"/>
          <w:b/>
          <w:bCs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Aporte científico de cada autor al resultado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Dra. </w:t>
      </w:r>
      <w:proofErr w:type="spellStart"/>
      <w:r w:rsidRPr="002C0BF1">
        <w:rPr>
          <w:b/>
          <w:sz w:val="22"/>
          <w:szCs w:val="22"/>
          <w:lang w:val="es-ES"/>
        </w:rPr>
        <w:t>Yuslín</w:t>
      </w:r>
      <w:proofErr w:type="spellEnd"/>
      <w:r w:rsidRPr="002C0BF1">
        <w:rPr>
          <w:b/>
          <w:sz w:val="22"/>
          <w:szCs w:val="22"/>
          <w:lang w:val="es-ES"/>
        </w:rPr>
        <w:t xml:space="preserve"> González Abreu</w:t>
      </w:r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 xml:space="preserve">(25%): </w:t>
      </w:r>
      <w:r w:rsidRPr="002C0BF1">
        <w:rPr>
          <w:sz w:val="22"/>
          <w:szCs w:val="22"/>
          <w:lang w:val="es-ES"/>
        </w:rPr>
        <w:t>Su aporte se basa en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la preparación y caracterización de las cerámicas, interpretación de los resultados, escritura de trabajos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científicos y autoría de tesis de doctorado.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Dra. </w:t>
      </w:r>
      <w:r w:rsidRPr="002C0BF1">
        <w:rPr>
          <w:b/>
          <w:sz w:val="22"/>
          <w:szCs w:val="22"/>
          <w:lang w:val="es-ES"/>
        </w:rPr>
        <w:t xml:space="preserve">Aimé </w:t>
      </w:r>
      <w:proofErr w:type="spellStart"/>
      <w:r w:rsidRPr="002C0BF1">
        <w:rPr>
          <w:b/>
          <w:sz w:val="22"/>
          <w:szCs w:val="22"/>
          <w:lang w:val="es-ES"/>
        </w:rPr>
        <w:t>Peláiz</w:t>
      </w:r>
      <w:proofErr w:type="spellEnd"/>
      <w:r w:rsidRPr="002C0BF1">
        <w:rPr>
          <w:b/>
          <w:sz w:val="22"/>
          <w:szCs w:val="22"/>
          <w:lang w:val="es-ES"/>
        </w:rPr>
        <w:t xml:space="preserve"> Barranco</w:t>
      </w:r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>(20%):</w:t>
      </w:r>
      <w:r w:rsidRPr="002C0BF1">
        <w:rPr>
          <w:sz w:val="22"/>
          <w:szCs w:val="22"/>
          <w:lang w:val="es-ES"/>
        </w:rPr>
        <w:t xml:space="preserve"> Su aporte se basa en la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caracterización de las cerámicas, interpretación de los resultados, escritura de trabajos científicos y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asesoría de una tesis de doctorado.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Dr. </w:t>
      </w:r>
      <w:r w:rsidRPr="002C0BF1">
        <w:rPr>
          <w:b/>
          <w:sz w:val="22"/>
          <w:szCs w:val="22"/>
          <w:lang w:val="es-ES"/>
        </w:rPr>
        <w:t>José de los Santos Guerra</w:t>
      </w:r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>(15%):</w:t>
      </w:r>
      <w:r w:rsidRPr="002C0BF1">
        <w:rPr>
          <w:sz w:val="22"/>
          <w:szCs w:val="22"/>
          <w:lang w:val="es-ES"/>
        </w:rPr>
        <w:t xml:space="preserve"> Su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aporte se basa en la caracterización de las cerámicas, interpretación de los resultados, escritura de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trabajos científicos y asesoría de una tesis de doctorado.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Dr. </w:t>
      </w:r>
      <w:r w:rsidRPr="002C0BF1">
        <w:rPr>
          <w:b/>
          <w:sz w:val="22"/>
          <w:szCs w:val="22"/>
          <w:lang w:val="es-ES"/>
        </w:rPr>
        <w:t>Pierre Saint-</w:t>
      </w:r>
      <w:proofErr w:type="spellStart"/>
      <w:r w:rsidRPr="002C0BF1">
        <w:rPr>
          <w:b/>
          <w:sz w:val="22"/>
          <w:szCs w:val="22"/>
          <w:lang w:val="es-ES"/>
        </w:rPr>
        <w:t>Grégoire</w:t>
      </w:r>
      <w:proofErr w:type="spellEnd"/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>(15%):</w:t>
      </w:r>
      <w:r w:rsidRPr="002C0BF1">
        <w:rPr>
          <w:sz w:val="22"/>
          <w:szCs w:val="22"/>
          <w:lang w:val="es-ES"/>
        </w:rPr>
        <w:t xml:space="preserve"> Su aporte se basa en la caracterización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de las cerámicas, interpretación de los resultados, escritura de trabajos científicos y asesoría de una tesis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de doctorado.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Dr. </w:t>
      </w:r>
      <w:r w:rsidRPr="002C0BF1">
        <w:rPr>
          <w:b/>
          <w:sz w:val="22"/>
          <w:szCs w:val="22"/>
          <w:lang w:val="es-ES"/>
        </w:rPr>
        <w:t xml:space="preserve">Francisco Calderón </w:t>
      </w:r>
      <w:proofErr w:type="spellStart"/>
      <w:r w:rsidRPr="002C0BF1">
        <w:rPr>
          <w:b/>
          <w:sz w:val="22"/>
          <w:szCs w:val="22"/>
          <w:lang w:val="es-ES"/>
        </w:rPr>
        <w:t>Piñar</w:t>
      </w:r>
      <w:proofErr w:type="spellEnd"/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>(5%):</w:t>
      </w:r>
      <w:r w:rsidRPr="002C0BF1">
        <w:rPr>
          <w:sz w:val="22"/>
          <w:szCs w:val="22"/>
          <w:lang w:val="es-ES"/>
        </w:rPr>
        <w:t xml:space="preserve"> Su aporte se basa en la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caracterización de las cerámicas e interpretación de los resultados.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Dr. </w:t>
      </w:r>
      <w:proofErr w:type="spellStart"/>
      <w:r w:rsidRPr="002C0BF1">
        <w:rPr>
          <w:b/>
          <w:sz w:val="22"/>
          <w:szCs w:val="22"/>
          <w:lang w:val="es-ES"/>
        </w:rPr>
        <w:t>Osmany</w:t>
      </w:r>
      <w:proofErr w:type="spellEnd"/>
      <w:r w:rsidRPr="002C0BF1">
        <w:rPr>
          <w:b/>
          <w:sz w:val="22"/>
          <w:szCs w:val="22"/>
          <w:lang w:val="es-ES"/>
        </w:rPr>
        <w:t xml:space="preserve"> García Zaldívar</w:t>
      </w:r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>(5%):</w:t>
      </w:r>
      <w:r w:rsidRPr="002C0BF1">
        <w:rPr>
          <w:sz w:val="22"/>
          <w:szCs w:val="22"/>
          <w:lang w:val="es-ES"/>
        </w:rPr>
        <w:t xml:space="preserve"> Su aporte se basa en la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caracterización de las cerámicas e interpretación de los resultados.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lastRenderedPageBreak/>
        <w:t xml:space="preserve">Dr. </w:t>
      </w:r>
      <w:proofErr w:type="spellStart"/>
      <w:r w:rsidRPr="002C0BF1">
        <w:rPr>
          <w:b/>
          <w:sz w:val="22"/>
          <w:szCs w:val="22"/>
          <w:lang w:val="es-ES"/>
        </w:rPr>
        <w:t>Arbelio</w:t>
      </w:r>
      <w:proofErr w:type="spellEnd"/>
      <w:r w:rsidRPr="002C0BF1">
        <w:rPr>
          <w:b/>
          <w:sz w:val="22"/>
          <w:szCs w:val="22"/>
          <w:lang w:val="es-ES"/>
        </w:rPr>
        <w:t xml:space="preserve"> </w:t>
      </w:r>
      <w:proofErr w:type="spellStart"/>
      <w:r w:rsidRPr="002C0BF1">
        <w:rPr>
          <w:b/>
          <w:sz w:val="22"/>
          <w:szCs w:val="22"/>
          <w:lang w:val="es-ES"/>
        </w:rPr>
        <w:t>Pentón</w:t>
      </w:r>
      <w:proofErr w:type="spellEnd"/>
      <w:r w:rsidRPr="002C0BF1">
        <w:rPr>
          <w:b/>
          <w:sz w:val="22"/>
          <w:szCs w:val="22"/>
          <w:lang w:val="es-ES"/>
        </w:rPr>
        <w:t xml:space="preserve"> Madrigal</w:t>
      </w:r>
      <w:r w:rsidRPr="002C0BF1">
        <w:rPr>
          <w:sz w:val="22"/>
          <w:szCs w:val="22"/>
          <w:lang w:val="es-ES"/>
        </w:rPr>
        <w:t xml:space="preserve"> </w:t>
      </w:r>
      <w:r w:rsidR="0044031D" w:rsidRPr="002C0BF1">
        <w:rPr>
          <w:sz w:val="22"/>
          <w:szCs w:val="22"/>
          <w:lang w:val="es-ES"/>
        </w:rPr>
        <w:t>(5%):</w:t>
      </w:r>
      <w:r w:rsidRPr="002C0BF1">
        <w:rPr>
          <w:sz w:val="22"/>
          <w:szCs w:val="22"/>
          <w:lang w:val="es-ES"/>
        </w:rPr>
        <w:t xml:space="preserve"> Su aporte se basa en la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caracterización de las cerámicas e interpretación de los resultados.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Dr. </w:t>
      </w:r>
      <w:proofErr w:type="spellStart"/>
      <w:r w:rsidRPr="002C0BF1">
        <w:rPr>
          <w:b/>
          <w:sz w:val="22"/>
          <w:szCs w:val="22"/>
          <w:lang w:val="es-ES"/>
        </w:rPr>
        <w:t>Yaovi</w:t>
      </w:r>
      <w:proofErr w:type="spellEnd"/>
      <w:r w:rsidRPr="002C0BF1">
        <w:rPr>
          <w:b/>
          <w:sz w:val="22"/>
          <w:szCs w:val="22"/>
          <w:lang w:val="es-ES"/>
        </w:rPr>
        <w:t xml:space="preserve"> </w:t>
      </w:r>
      <w:proofErr w:type="spellStart"/>
      <w:r w:rsidRPr="002C0BF1">
        <w:rPr>
          <w:b/>
          <w:sz w:val="22"/>
          <w:szCs w:val="22"/>
          <w:lang w:val="es-ES"/>
        </w:rPr>
        <w:t>Gaogou</w:t>
      </w:r>
      <w:proofErr w:type="spellEnd"/>
      <w:r w:rsidRPr="002C0BF1">
        <w:rPr>
          <w:sz w:val="22"/>
          <w:szCs w:val="22"/>
          <w:lang w:val="es-ES"/>
        </w:rPr>
        <w:t xml:space="preserve"> </w:t>
      </w:r>
      <w:r w:rsidR="0044031D" w:rsidRPr="002C0BF1">
        <w:rPr>
          <w:sz w:val="22"/>
          <w:szCs w:val="22"/>
          <w:lang w:val="es-ES"/>
        </w:rPr>
        <w:t>(5%):</w:t>
      </w:r>
      <w:r w:rsidRPr="002C0BF1">
        <w:rPr>
          <w:sz w:val="22"/>
          <w:szCs w:val="22"/>
          <w:lang w:val="es-ES"/>
        </w:rPr>
        <w:t xml:space="preserve"> Su aporte se basa en la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caracterización de las cerámicas e interpretación de los resultados.</w:t>
      </w:r>
    </w:p>
    <w:p w:rsidR="005268FA" w:rsidRPr="002C0BF1" w:rsidRDefault="005268FA" w:rsidP="00FF727F">
      <w:pPr>
        <w:pStyle w:val="Default"/>
        <w:numPr>
          <w:ilvl w:val="0"/>
          <w:numId w:val="1"/>
        </w:numPr>
        <w:ind w:left="270" w:hanging="270"/>
        <w:jc w:val="both"/>
        <w:rPr>
          <w:sz w:val="22"/>
          <w:szCs w:val="22"/>
          <w:lang w:val="es-ES"/>
        </w:rPr>
      </w:pPr>
      <w:r w:rsidRPr="002C0BF1">
        <w:rPr>
          <w:sz w:val="22"/>
          <w:szCs w:val="22"/>
          <w:lang w:val="es-ES"/>
        </w:rPr>
        <w:t xml:space="preserve">Lic. </w:t>
      </w:r>
      <w:r w:rsidRPr="002C0BF1">
        <w:rPr>
          <w:b/>
          <w:sz w:val="22"/>
          <w:szCs w:val="22"/>
          <w:lang w:val="es-ES"/>
        </w:rPr>
        <w:t xml:space="preserve">Alexis Carlos García </w:t>
      </w:r>
      <w:proofErr w:type="spellStart"/>
      <w:r w:rsidRPr="002C0BF1">
        <w:rPr>
          <w:b/>
          <w:sz w:val="22"/>
          <w:szCs w:val="22"/>
          <w:lang w:val="es-ES"/>
        </w:rPr>
        <w:t>Wong</w:t>
      </w:r>
      <w:proofErr w:type="spellEnd"/>
      <w:r w:rsidRPr="002C0BF1">
        <w:rPr>
          <w:sz w:val="22"/>
          <w:szCs w:val="22"/>
          <w:lang w:val="es-ES"/>
        </w:rPr>
        <w:t xml:space="preserve"> </w:t>
      </w:r>
      <w:r w:rsidR="00FF727F" w:rsidRPr="002C0BF1">
        <w:rPr>
          <w:sz w:val="22"/>
          <w:szCs w:val="22"/>
          <w:lang w:val="es-ES"/>
        </w:rPr>
        <w:t>(5%):</w:t>
      </w:r>
      <w:r w:rsidRPr="002C0BF1">
        <w:rPr>
          <w:sz w:val="22"/>
          <w:szCs w:val="22"/>
          <w:lang w:val="es-ES"/>
        </w:rPr>
        <w:t xml:space="preserve"> Su aporte se basa</w:t>
      </w:r>
      <w:r w:rsidR="00FF727F" w:rsidRPr="002C0BF1">
        <w:rPr>
          <w:sz w:val="22"/>
          <w:szCs w:val="22"/>
          <w:lang w:val="es-ES"/>
        </w:rPr>
        <w:t xml:space="preserve"> </w:t>
      </w:r>
      <w:r w:rsidRPr="002C0BF1">
        <w:rPr>
          <w:sz w:val="22"/>
          <w:szCs w:val="22"/>
          <w:lang w:val="es-ES"/>
        </w:rPr>
        <w:t>en la caracterización de las cerámicas.</w:t>
      </w:r>
    </w:p>
    <w:p w:rsidR="00D63093" w:rsidRPr="002C0BF1" w:rsidRDefault="00D63093" w:rsidP="00526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2DC" w:rsidRPr="002C0BF1" w:rsidRDefault="00A422DC" w:rsidP="00A422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0BF1">
        <w:rPr>
          <w:rFonts w:ascii="Arial" w:hAnsi="Arial" w:cs="Arial"/>
          <w:b/>
          <w:sz w:val="24"/>
          <w:szCs w:val="24"/>
        </w:rPr>
        <w:t>Resumen</w:t>
      </w:r>
    </w:p>
    <w:p w:rsidR="00A422DC" w:rsidRPr="002C0BF1" w:rsidRDefault="006E4237" w:rsidP="006E4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BF1">
        <w:rPr>
          <w:rFonts w:ascii="Arial" w:hAnsi="Arial" w:cs="Arial"/>
          <w:sz w:val="24"/>
          <w:szCs w:val="24"/>
        </w:rPr>
        <w:t xml:space="preserve">La propuesta que se presenta es el resultado de las investigaciones realizadas sobre materiales cerámicos </w:t>
      </w:r>
      <w:proofErr w:type="spellStart"/>
      <w:r w:rsidRPr="002C0BF1">
        <w:rPr>
          <w:rFonts w:ascii="Arial" w:hAnsi="Arial" w:cs="Arial"/>
          <w:sz w:val="24"/>
          <w:szCs w:val="24"/>
        </w:rPr>
        <w:t>ferroeléctricos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 libres de plomo de la familia </w:t>
      </w:r>
      <w:proofErr w:type="spellStart"/>
      <w:r w:rsidRPr="002C0BF1">
        <w:rPr>
          <w:rFonts w:ascii="Arial" w:hAnsi="Arial" w:cs="Arial"/>
          <w:sz w:val="24"/>
          <w:szCs w:val="24"/>
        </w:rPr>
        <w:t>Aurivillius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. Se trata de una temática de notable interés, enmarcada en un desarrollo científico y tecnológico que considera la protección del medio ambiente, por tratarse de materiales de gran potencialidad práctica y que son libres de plomo, elemento altamente toxico que se encuentra presente en prácticamente todos los materiales convencionales que son utilizados en las múltiples aplicaciones desarrolladas a partir de sistemas </w:t>
      </w:r>
      <w:proofErr w:type="spellStart"/>
      <w:r w:rsidRPr="002C0BF1">
        <w:rPr>
          <w:rFonts w:ascii="Arial" w:hAnsi="Arial" w:cs="Arial"/>
          <w:sz w:val="24"/>
          <w:szCs w:val="24"/>
        </w:rPr>
        <w:t>ferroeléctricos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. Los aportes más significativos al conocimiento científico, que avalan la novedad y actualidad de las investigaciones realizadas, son: i. </w:t>
      </w:r>
      <w:r w:rsidRPr="002C0BF1">
        <w:rPr>
          <w:rFonts w:ascii="Arial" w:hAnsi="Arial" w:cs="Arial"/>
          <w:b/>
          <w:bCs/>
          <w:i/>
          <w:iCs/>
          <w:sz w:val="24"/>
          <w:szCs w:val="24"/>
        </w:rPr>
        <w:t xml:space="preserve">Obtención de cerámicas </w:t>
      </w:r>
      <w:proofErr w:type="spellStart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>ferroeléctricas</w:t>
      </w:r>
      <w:proofErr w:type="spellEnd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 xml:space="preserve"> libres de plomo con altas densidades mediante el método cerámico, técnica sencilla y barata</w:t>
      </w:r>
      <w:r w:rsidRPr="002C0BF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C0BF1">
        <w:rPr>
          <w:rFonts w:ascii="Arial" w:hAnsi="Arial" w:cs="Arial"/>
          <w:sz w:val="24"/>
          <w:szCs w:val="24"/>
        </w:rPr>
        <w:t>ii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. </w:t>
      </w:r>
      <w:r w:rsidRPr="002C0BF1">
        <w:rPr>
          <w:rFonts w:ascii="Arial" w:hAnsi="Arial" w:cs="Arial"/>
          <w:b/>
          <w:bCs/>
          <w:i/>
          <w:iCs/>
          <w:sz w:val="24"/>
          <w:szCs w:val="24"/>
        </w:rPr>
        <w:t>Cuantificación de la ocupación de los diferentes elementos en la estructura, tema no reportado anteriormente para materiales de esta familia con mezcla de bario y estroncio</w:t>
      </w:r>
      <w:r w:rsidRPr="002C0BF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C0BF1">
        <w:rPr>
          <w:rFonts w:ascii="Arial" w:hAnsi="Arial" w:cs="Arial"/>
          <w:sz w:val="24"/>
          <w:szCs w:val="24"/>
        </w:rPr>
        <w:t>iii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. </w:t>
      </w:r>
      <w:r w:rsidRPr="002C0BF1">
        <w:rPr>
          <w:rFonts w:ascii="Arial" w:hAnsi="Arial" w:cs="Arial"/>
          <w:b/>
          <w:bCs/>
          <w:i/>
          <w:iCs/>
          <w:sz w:val="24"/>
          <w:szCs w:val="24"/>
        </w:rPr>
        <w:t xml:space="preserve">Aplicación satisfactoria de un método numérico para separar las diferentes contribuciones en la corriente térmicamente estimulada, resultados corroborados a partir de la histéresis </w:t>
      </w:r>
      <w:proofErr w:type="spellStart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>ferroeléctrica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C0BF1">
        <w:rPr>
          <w:rFonts w:ascii="Arial" w:hAnsi="Arial" w:cs="Arial"/>
          <w:sz w:val="24"/>
          <w:szCs w:val="24"/>
        </w:rPr>
        <w:t>iv</w:t>
      </w:r>
      <w:proofErr w:type="spellEnd"/>
      <w:r w:rsidRPr="002C0BF1">
        <w:rPr>
          <w:rFonts w:ascii="Arial" w:hAnsi="Arial" w:cs="Arial"/>
          <w:sz w:val="24"/>
          <w:szCs w:val="24"/>
        </w:rPr>
        <w:t xml:space="preserve">. </w:t>
      </w:r>
      <w:r w:rsidRPr="002C0BF1">
        <w:rPr>
          <w:rFonts w:ascii="Arial" w:hAnsi="Arial" w:cs="Arial"/>
          <w:b/>
          <w:bCs/>
          <w:i/>
          <w:iCs/>
          <w:sz w:val="24"/>
          <w:szCs w:val="24"/>
        </w:rPr>
        <w:t xml:space="preserve">La metodología de la investigación aplicada constituye un modelo en investigaciones experimentales en este campo, combinándose técnicas modernas de análisis estructural con métodos tradicionales de caracterización de materiales </w:t>
      </w:r>
      <w:proofErr w:type="spellStart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>ferroeléctricos</w:t>
      </w:r>
      <w:proofErr w:type="spellEnd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 xml:space="preserve">, lográndose correlacionar el comportamiento macroscópico de esto materiales (dieléctrico, piezoeléctrico y </w:t>
      </w:r>
      <w:proofErr w:type="spellStart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>piroeléctrico</w:t>
      </w:r>
      <w:proofErr w:type="spellEnd"/>
      <w:r w:rsidRPr="002C0BF1">
        <w:rPr>
          <w:rFonts w:ascii="Arial" w:hAnsi="Arial" w:cs="Arial"/>
          <w:b/>
          <w:bCs/>
          <w:i/>
          <w:iCs/>
          <w:sz w:val="24"/>
          <w:szCs w:val="24"/>
        </w:rPr>
        <w:t>) con las particularidades de su estructura cristalina</w:t>
      </w:r>
      <w:r w:rsidRPr="002C0BF1">
        <w:rPr>
          <w:rFonts w:ascii="Arial" w:hAnsi="Arial" w:cs="Arial"/>
          <w:sz w:val="24"/>
          <w:szCs w:val="24"/>
        </w:rPr>
        <w:t>. La propuesta está avalada por 5 publicaciones en revistas internacionales, el capítulo de un libro, una tesis de doctorado satisfactoriamente defendida, varios trabajos en eventos científicos y un premio de la Universidad de La Habana.</w:t>
      </w:r>
    </w:p>
    <w:p w:rsidR="006E4237" w:rsidRPr="002C0BF1" w:rsidRDefault="006E4237" w:rsidP="00A422DC">
      <w:pPr>
        <w:pStyle w:val="Default"/>
        <w:rPr>
          <w:bCs/>
          <w:lang w:val="es-ES"/>
        </w:rPr>
      </w:pPr>
    </w:p>
    <w:p w:rsidR="00A422DC" w:rsidRPr="002C0BF1" w:rsidRDefault="00A422DC" w:rsidP="00A422DC">
      <w:pPr>
        <w:pStyle w:val="Default"/>
        <w:rPr>
          <w:lang w:val="es-ES"/>
        </w:rPr>
      </w:pPr>
      <w:r w:rsidRPr="002C0BF1">
        <w:rPr>
          <w:b/>
          <w:bCs/>
          <w:lang w:val="es-ES"/>
        </w:rPr>
        <w:t xml:space="preserve">Comunicación Corta </w:t>
      </w:r>
    </w:p>
    <w:p w:rsidR="002C0BF1" w:rsidRPr="00D06B30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B30">
        <w:rPr>
          <w:rFonts w:ascii="Arial" w:hAnsi="Arial" w:cs="Arial"/>
          <w:b/>
          <w:sz w:val="24"/>
          <w:szCs w:val="24"/>
        </w:rPr>
        <w:t>Introducción</w:t>
      </w: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Los materiales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son ampliamente abordados por la comunidad científica internacional hace varias décadas, dado el número de aplicaciones que a partir de ellos pueden desarrollarse. Estos materiales son utilizados en sensores electromecánicos, donde controlan los mecanismos de seguridad en sistemas de entrada, en los interruptores de luz que responden a sonidos o movimientos, en diversas partes de los automóviles, en sonares, velocímetros, sistemas de visión nocturna, amplificadores de baja y alta impedancia, entre otras múltiples aplicaciones. Los materiales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basados en plomos son los más utilizados para el desarrollo de estas aplicaciones, por sus propiedades, pero a su vez representan una fuente de contaminación para el medio ambiente. Es por esto que se trabaja en la búsqueda de materiales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libres de plomo con buenas propiedades, que constituyan una alternativa a los materiales </w:t>
      </w:r>
      <w:proofErr w:type="spellStart"/>
      <w:r w:rsidRPr="001E6255">
        <w:rPr>
          <w:rFonts w:ascii="Arial" w:hAnsi="Arial" w:cs="Arial"/>
          <w:sz w:val="24"/>
          <w:szCs w:val="24"/>
        </w:rPr>
        <w:lastRenderedPageBreak/>
        <w:t>ferroeléctricos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convencionales basados en plomo, entre los que se destacan las </w:t>
      </w:r>
      <w:proofErr w:type="spellStart"/>
      <w:r w:rsidRPr="001E6255">
        <w:rPr>
          <w:rFonts w:ascii="Arial" w:hAnsi="Arial" w:cs="Arial"/>
          <w:sz w:val="24"/>
          <w:szCs w:val="24"/>
        </w:rPr>
        <w:t>perovskitas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laminares de bismuto.</w:t>
      </w:r>
    </w:p>
    <w:p w:rsidR="00D06B30" w:rsidRPr="001E6255" w:rsidRDefault="00D06B30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En la familia de las </w:t>
      </w:r>
      <w:proofErr w:type="spellStart"/>
      <w:r w:rsidRPr="001E6255">
        <w:rPr>
          <w:rFonts w:ascii="Arial" w:hAnsi="Arial" w:cs="Arial"/>
          <w:sz w:val="24"/>
          <w:szCs w:val="24"/>
        </w:rPr>
        <w:t>perovskitas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laminares de bismuto, el compuesto SrBi</w:t>
      </w:r>
      <w:r w:rsidRPr="001E6255">
        <w:rPr>
          <w:rFonts w:ascii="Arial" w:hAnsi="Arial" w:cs="Arial"/>
          <w:sz w:val="24"/>
          <w:szCs w:val="24"/>
          <w:vertAlign w:val="subscript"/>
        </w:rPr>
        <w:t>2</w:t>
      </w:r>
      <w:r w:rsidRPr="001E6255">
        <w:rPr>
          <w:rFonts w:ascii="Arial" w:hAnsi="Arial" w:cs="Arial"/>
          <w:sz w:val="24"/>
          <w:szCs w:val="24"/>
        </w:rPr>
        <w:t>Nb</w:t>
      </w:r>
      <w:r w:rsidRPr="001E6255">
        <w:rPr>
          <w:rFonts w:ascii="Arial" w:hAnsi="Arial" w:cs="Arial"/>
          <w:sz w:val="24"/>
          <w:szCs w:val="24"/>
          <w:vertAlign w:val="subscript"/>
        </w:rPr>
        <w:t>2</w:t>
      </w:r>
      <w:r w:rsidRPr="001E6255">
        <w:rPr>
          <w:rFonts w:ascii="Arial" w:hAnsi="Arial" w:cs="Arial"/>
          <w:sz w:val="24"/>
          <w:szCs w:val="24"/>
        </w:rPr>
        <w:t>O</w:t>
      </w:r>
      <w:r w:rsidRPr="001E6255">
        <w:rPr>
          <w:rFonts w:ascii="Arial" w:hAnsi="Arial" w:cs="Arial"/>
          <w:sz w:val="24"/>
          <w:szCs w:val="24"/>
          <w:vertAlign w:val="subscript"/>
        </w:rPr>
        <w:t>9</w:t>
      </w:r>
      <w:r w:rsidRPr="001E6255">
        <w:rPr>
          <w:rFonts w:ascii="Arial" w:hAnsi="Arial" w:cs="Arial"/>
          <w:sz w:val="24"/>
          <w:szCs w:val="24"/>
        </w:rPr>
        <w:t xml:space="preserve"> es uno de los más estudiados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por su alta resistencia a la fatiga eléctrica. Este comportamiento se ha asociado con la migración de vacancias de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oxígeno en el material, siendo el bario un elemento importante para el mejoramiento de las propiedades del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sistema. Los estudios realizados en este sistema modificado con bario han mostrado resultados interesantes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desde el punto de vista estructural y dieléctrico. Se ha reportado que las capas de oxígeno y bismuto presente en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estos materiales juegan un papel fundamental en sus propiedades, limitando la concentración del dopante en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sitios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1E6255">
        <w:rPr>
          <w:rFonts w:ascii="Arial" w:hAnsi="Arial" w:cs="Arial"/>
          <w:sz w:val="24"/>
          <w:szCs w:val="24"/>
        </w:rPr>
        <w:t xml:space="preserve">de la estructura. Por su parte, la mezcla de diferentes elementos entre sitios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1E6255">
        <w:rPr>
          <w:rFonts w:ascii="Arial" w:hAnsi="Arial" w:cs="Arial"/>
          <w:sz w:val="24"/>
          <w:szCs w:val="24"/>
        </w:rPr>
        <w:t>y sitios del bismuto ha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sido también analizada como una consecuencia del límite establecido por las capas.</w:t>
      </w:r>
    </w:p>
    <w:p w:rsidR="00D06B30" w:rsidRPr="001E6255" w:rsidRDefault="00D06B30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Por otro lado, se ha observado un comportamiento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relajador en estos materiales, que se ha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discutido en términos del desorden composicional. A pesar de las diversas investigaciones realizadas no existe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un estudio sistemático en el sistema </w:t>
      </w:r>
      <w:r w:rsidR="00D06B30" w:rsidRPr="001E6255">
        <w:rPr>
          <w:rFonts w:ascii="Arial" w:hAnsi="Arial" w:cs="Arial"/>
          <w:sz w:val="24"/>
          <w:szCs w:val="24"/>
        </w:rPr>
        <w:t>SrBi</w:t>
      </w:r>
      <w:r w:rsidR="00D06B30" w:rsidRPr="001E6255">
        <w:rPr>
          <w:rFonts w:ascii="Arial" w:hAnsi="Arial" w:cs="Arial"/>
          <w:sz w:val="24"/>
          <w:szCs w:val="24"/>
          <w:vertAlign w:val="subscript"/>
        </w:rPr>
        <w:t>2</w:t>
      </w:r>
      <w:r w:rsidR="00D06B30" w:rsidRPr="001E6255">
        <w:rPr>
          <w:rFonts w:ascii="Arial" w:hAnsi="Arial" w:cs="Arial"/>
          <w:sz w:val="24"/>
          <w:szCs w:val="24"/>
        </w:rPr>
        <w:t>Nb</w:t>
      </w:r>
      <w:r w:rsidR="00D06B30" w:rsidRPr="001E6255">
        <w:rPr>
          <w:rFonts w:ascii="Arial" w:hAnsi="Arial" w:cs="Arial"/>
          <w:sz w:val="24"/>
          <w:szCs w:val="24"/>
          <w:vertAlign w:val="subscript"/>
        </w:rPr>
        <w:t>2</w:t>
      </w:r>
      <w:r w:rsidR="00D06B30" w:rsidRPr="001E6255">
        <w:rPr>
          <w:rFonts w:ascii="Arial" w:hAnsi="Arial" w:cs="Arial"/>
          <w:sz w:val="24"/>
          <w:szCs w:val="24"/>
        </w:rPr>
        <w:t>O</w:t>
      </w:r>
      <w:r w:rsidR="00D06B30" w:rsidRPr="001E6255">
        <w:rPr>
          <w:rFonts w:ascii="Arial" w:hAnsi="Arial" w:cs="Arial"/>
          <w:sz w:val="24"/>
          <w:szCs w:val="24"/>
          <w:vertAlign w:val="subscript"/>
        </w:rPr>
        <w:t>9</w:t>
      </w:r>
      <w:r w:rsidRPr="001E6255">
        <w:rPr>
          <w:rFonts w:ascii="Arial" w:hAnsi="Arial" w:cs="Arial"/>
          <w:sz w:val="24"/>
          <w:szCs w:val="24"/>
        </w:rPr>
        <w:t xml:space="preserve"> modificado con diferentes concentraciones de bario. Este tema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fue precisamente el abordado en la investigación que constituye la presente propuesta. Se obtuvieron cerámicas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del tipo </w:t>
      </w:r>
      <w:r w:rsidRPr="001E6255">
        <w:rPr>
          <w:rFonts w:ascii="Arial" w:hAnsi="Arial" w:cs="Arial"/>
          <w:i/>
          <w:iCs/>
          <w:sz w:val="24"/>
          <w:szCs w:val="24"/>
        </w:rPr>
        <w:t>Sr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1-x</w:t>
      </w:r>
      <w:r w:rsidRPr="001E6255">
        <w:rPr>
          <w:rFonts w:ascii="Arial" w:hAnsi="Arial" w:cs="Arial"/>
          <w:i/>
          <w:iCs/>
          <w:sz w:val="24"/>
          <w:szCs w:val="24"/>
        </w:rPr>
        <w:t>Ba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x</w:t>
      </w:r>
      <w:r w:rsidRPr="001E6255">
        <w:rPr>
          <w:rFonts w:ascii="Arial" w:hAnsi="Arial" w:cs="Arial"/>
          <w:i/>
          <w:iCs/>
          <w:sz w:val="24"/>
          <w:szCs w:val="24"/>
        </w:rPr>
        <w:t>Bi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1E6255">
        <w:rPr>
          <w:rFonts w:ascii="Arial" w:hAnsi="Arial" w:cs="Arial"/>
          <w:i/>
          <w:iCs/>
          <w:sz w:val="24"/>
          <w:szCs w:val="24"/>
        </w:rPr>
        <w:t>Nb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1E6255">
        <w:rPr>
          <w:rFonts w:ascii="Arial" w:hAnsi="Arial" w:cs="Arial"/>
          <w:i/>
          <w:iCs/>
          <w:sz w:val="24"/>
          <w:szCs w:val="24"/>
        </w:rPr>
        <w:t>O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9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, </w:t>
      </w:r>
      <w:r w:rsidRPr="001E6255">
        <w:rPr>
          <w:rFonts w:ascii="Arial" w:hAnsi="Arial" w:cs="Arial"/>
          <w:sz w:val="24"/>
          <w:szCs w:val="24"/>
        </w:rPr>
        <w:t xml:space="preserve">con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x=0, 15, 30, 50, 70, 85, 90, 100 at% </w:t>
      </w:r>
      <w:r w:rsidRPr="001E6255">
        <w:rPr>
          <w:rFonts w:ascii="Arial" w:hAnsi="Arial" w:cs="Arial"/>
          <w:sz w:val="24"/>
          <w:szCs w:val="24"/>
        </w:rPr>
        <w:t>de bario, con altas densidades, y se realizó un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amplio estudio que abarcó propiedades estructurales, dieléctricas,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ferroeléctricas</w:t>
      </w:r>
      <w:proofErr w:type="spellEnd"/>
      <w:r w:rsidRPr="001E6255">
        <w:rPr>
          <w:rFonts w:ascii="Arial" w:hAnsi="Arial" w:cs="Arial"/>
          <w:sz w:val="24"/>
          <w:szCs w:val="24"/>
        </w:rPr>
        <w:t>, piezoeléctricas y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255">
        <w:rPr>
          <w:rFonts w:ascii="Arial" w:hAnsi="Arial" w:cs="Arial"/>
          <w:sz w:val="24"/>
          <w:szCs w:val="24"/>
        </w:rPr>
        <w:t>piroeléctricas</w:t>
      </w:r>
      <w:proofErr w:type="spellEnd"/>
      <w:r w:rsidRPr="001E6255">
        <w:rPr>
          <w:rFonts w:ascii="Arial" w:hAnsi="Arial" w:cs="Arial"/>
          <w:sz w:val="24"/>
          <w:szCs w:val="24"/>
        </w:rPr>
        <w:t>. Se logró correlacionar el comportamiento de la estructura cristalina con las diversas propiedades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macroscópicas analizadas.</w:t>
      </w:r>
    </w:p>
    <w:p w:rsidR="00397142" w:rsidRPr="001E6255" w:rsidRDefault="00397142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6255">
        <w:rPr>
          <w:rFonts w:ascii="Arial" w:hAnsi="Arial" w:cs="Arial"/>
          <w:b/>
          <w:sz w:val="24"/>
          <w:szCs w:val="24"/>
        </w:rPr>
        <w:t>Resultados</w:t>
      </w: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Las muestras fueron obtenidas por el método cerámico convencional, técnica sencilla y barata, lográndose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altos valores de densidad respecto a la densidad teórica</w:t>
      </w:r>
      <w:r w:rsidRPr="001E6255">
        <w:rPr>
          <w:rFonts w:ascii="Arial" w:hAnsi="Arial" w:cs="Arial"/>
          <w:sz w:val="24"/>
          <w:szCs w:val="24"/>
        </w:rPr>
        <w:t>. Las principales propiedades estructurales se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obtuvieron utilizando técnicas como difracción rayos-x y espectroscopia </w:t>
      </w:r>
      <w:proofErr w:type="spellStart"/>
      <w:r w:rsidRPr="001E6255">
        <w:rPr>
          <w:rFonts w:ascii="Arial" w:hAnsi="Arial" w:cs="Arial"/>
          <w:sz w:val="24"/>
          <w:szCs w:val="24"/>
        </w:rPr>
        <w:t>Raman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a temperatura ambiente,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analizándose la mezcla de diferentes elementos entre sitios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1E6255">
        <w:rPr>
          <w:rFonts w:ascii="Arial" w:hAnsi="Arial" w:cs="Arial"/>
          <w:sz w:val="24"/>
          <w:szCs w:val="24"/>
        </w:rPr>
        <w:t>y sitios del bismuto.</w:t>
      </w:r>
    </w:p>
    <w:p w:rsidR="00926561" w:rsidRPr="001E6255" w:rsidRDefault="0092656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El estudio estructural indicó una estructura ortorrómbica con grupo espacial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A21am </w:t>
      </w:r>
      <w:r w:rsidRPr="001E6255">
        <w:rPr>
          <w:rFonts w:ascii="Arial" w:hAnsi="Arial" w:cs="Arial"/>
          <w:sz w:val="24"/>
          <w:szCs w:val="24"/>
        </w:rPr>
        <w:t>en todas las composiciones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estudiadas [1, 4, 5].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A partir del método de refinamiento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Rietveld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se logró cuantificar la ocupación de los</w:t>
      </w:r>
      <w:r w:rsidR="00397142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diferentes elementos en la estructura, tema no reportado anteriormente para materiales de esta familia con</w:t>
      </w:r>
      <w:r w:rsidR="00397142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mezcla de bario y estroncio </w:t>
      </w:r>
      <w:r w:rsidRPr="001E6255">
        <w:rPr>
          <w:rFonts w:ascii="Arial" w:hAnsi="Arial" w:cs="Arial"/>
          <w:sz w:val="24"/>
          <w:szCs w:val="24"/>
        </w:rPr>
        <w:t xml:space="preserve">[5]. Este estudio indicó la mezcla de diferentes elementos en sitios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1E6255">
        <w:rPr>
          <w:rFonts w:ascii="Arial" w:hAnsi="Arial" w:cs="Arial"/>
          <w:sz w:val="24"/>
          <w:szCs w:val="24"/>
        </w:rPr>
        <w:t>de la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estructura </w:t>
      </w:r>
      <w:proofErr w:type="spellStart"/>
      <w:r w:rsidRPr="001E6255">
        <w:rPr>
          <w:rFonts w:ascii="Arial" w:hAnsi="Arial" w:cs="Arial"/>
          <w:sz w:val="24"/>
          <w:szCs w:val="24"/>
        </w:rPr>
        <w:t>perovskita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y sitios del bismuto en la estructura de capas, observándose un comportamiento diferente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en la ocupación de los elementos para composiciones hasta 30at% de bario y de 50at% en adelante (Figura 1)</w:t>
      </w:r>
      <w:r w:rsidR="00397142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[5].</w:t>
      </w:r>
    </w:p>
    <w:p w:rsidR="00926561" w:rsidRPr="001E6255" w:rsidRDefault="0092656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1" w:rsidRPr="001E6255" w:rsidRDefault="002C0BF1" w:rsidP="002C0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El análisis dieléctrico, realizado en un amplio intervalo de temperatura y frecuencia, mostró una transición de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normal a relajador con el incremento de la concentración del dopante [1, 5]. Se observó una fuerte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influencia de la ocupación de los diferentes elementos en sitios 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1E6255">
        <w:rPr>
          <w:rFonts w:ascii="Arial" w:hAnsi="Arial" w:cs="Arial"/>
          <w:sz w:val="24"/>
          <w:szCs w:val="24"/>
        </w:rPr>
        <w:t>en el comportamiento de la temperatura del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máximo de la </w:t>
      </w:r>
      <w:proofErr w:type="spellStart"/>
      <w:r w:rsidRPr="001E6255">
        <w:rPr>
          <w:rFonts w:ascii="Arial" w:hAnsi="Arial" w:cs="Arial"/>
          <w:sz w:val="24"/>
          <w:szCs w:val="24"/>
        </w:rPr>
        <w:t>permitividad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dieléctrica real (</w:t>
      </w:r>
      <w:r w:rsidRPr="001E6255">
        <w:rPr>
          <w:rFonts w:ascii="Arial" w:hAnsi="Arial" w:cs="Arial"/>
          <w:i/>
          <w:iCs/>
          <w:sz w:val="24"/>
          <w:szCs w:val="24"/>
        </w:rPr>
        <w:t>T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 w:rsidRPr="001E6255">
        <w:rPr>
          <w:rFonts w:ascii="Arial" w:hAnsi="Arial" w:cs="Arial"/>
          <w:sz w:val="24"/>
          <w:szCs w:val="24"/>
        </w:rPr>
        <w:t xml:space="preserve">). El valor de </w:t>
      </w:r>
      <w:r w:rsidRPr="001E6255">
        <w:rPr>
          <w:rFonts w:ascii="Arial" w:hAnsi="Arial" w:cs="Arial"/>
          <w:i/>
          <w:iCs/>
          <w:sz w:val="24"/>
          <w:szCs w:val="24"/>
        </w:rPr>
        <w:t>T</w:t>
      </w:r>
      <w:r w:rsidRPr="001E6255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 w:rsidRPr="001E6255">
        <w:rPr>
          <w:rFonts w:ascii="Arial" w:hAnsi="Arial" w:cs="Arial"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mostró una tendencia al </w:t>
      </w:r>
      <w:r w:rsidRPr="001E6255">
        <w:rPr>
          <w:rFonts w:ascii="Arial" w:hAnsi="Arial" w:cs="Arial"/>
          <w:sz w:val="24"/>
          <w:szCs w:val="24"/>
        </w:rPr>
        <w:lastRenderedPageBreak/>
        <w:t>incremento para las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composiciones hasta 30at% mientras que para las composiciones de 50at% en adelante mostró una tendencia a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disminuir.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Este comportamiento diferente con la concentración del dopante, para ambos grupos, fue</w:t>
      </w:r>
      <w:r w:rsidR="00047DCD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explicado teniendo en cuenta la ocupación de los diferentes elementos en sitios A de la estructura,</w:t>
      </w:r>
      <w:r w:rsidR="00047DCD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lográndose correlacionar el comportamiento macroscópico con las particularidades de su estructura</w:t>
      </w:r>
      <w:r w:rsidR="00047DCD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cristalina.</w:t>
      </w:r>
    </w:p>
    <w:p w:rsidR="00A56A7A" w:rsidRPr="001E6255" w:rsidRDefault="00A56A7A" w:rsidP="00047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BF1" w:rsidRPr="001E6255" w:rsidRDefault="002C0BF1" w:rsidP="00047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El modelo vidrio espín se aplicó al comportamiento dieléctrico en las composiciones que mostraron un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comportamiento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relajador [4, 5].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Este modelo permitió estudiar la dinámica de las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nanoregiones</w:t>
      </w:r>
      <w:proofErr w:type="spellEnd"/>
      <w:r w:rsidR="00047DCD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polares existentes en las composiciones que muestran este tipo comportamiento</w:t>
      </w:r>
      <w:r w:rsidRPr="001E6255">
        <w:rPr>
          <w:rFonts w:ascii="Arial" w:hAnsi="Arial" w:cs="Arial"/>
          <w:sz w:val="24"/>
          <w:szCs w:val="24"/>
        </w:rPr>
        <w:t>. El estudio indicó una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disminución de la temperatura de congelamiento de las </w:t>
      </w:r>
      <w:proofErr w:type="spellStart"/>
      <w:r w:rsidRPr="001E6255">
        <w:rPr>
          <w:rFonts w:ascii="Arial" w:hAnsi="Arial" w:cs="Arial"/>
          <w:sz w:val="24"/>
          <w:szCs w:val="24"/>
        </w:rPr>
        <w:t>nanoregiones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polares con el incremento del bario en la</w:t>
      </w:r>
      <w:r w:rsidR="00047DCD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estructura [5].</w:t>
      </w:r>
    </w:p>
    <w:p w:rsidR="002C0BF1" w:rsidRPr="001E6255" w:rsidRDefault="002C0BF1" w:rsidP="002C0BF1">
      <w:pPr>
        <w:pStyle w:val="Default"/>
        <w:jc w:val="both"/>
        <w:rPr>
          <w:lang w:val="es-ES"/>
        </w:rPr>
      </w:pPr>
      <w:r w:rsidRPr="001E6255">
        <w:rPr>
          <w:noProof/>
          <w:lang w:val="es-ES"/>
        </w:rPr>
        <w:drawing>
          <wp:inline distT="0" distB="0" distL="0" distR="0">
            <wp:extent cx="5943600" cy="30022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EC" w:rsidRPr="001E6255" w:rsidRDefault="00CB4135" w:rsidP="00CB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255">
        <w:rPr>
          <w:rFonts w:ascii="Arial" w:hAnsi="Arial" w:cs="Arial"/>
          <w:iCs/>
          <w:sz w:val="20"/>
          <w:szCs w:val="20"/>
        </w:rPr>
        <w:t>Figura 1- Dependencia del porciento de ocupación del Sr</w:t>
      </w:r>
      <w:r w:rsidRPr="001E6255">
        <w:rPr>
          <w:rFonts w:ascii="Arial" w:hAnsi="Arial" w:cs="Arial"/>
          <w:iCs/>
          <w:sz w:val="20"/>
          <w:szCs w:val="20"/>
          <w:vertAlign w:val="superscript"/>
        </w:rPr>
        <w:t>2+</w:t>
      </w:r>
      <w:r w:rsidRPr="001E6255">
        <w:rPr>
          <w:rFonts w:ascii="Arial" w:hAnsi="Arial" w:cs="Arial"/>
          <w:iCs/>
          <w:sz w:val="20"/>
          <w:szCs w:val="20"/>
        </w:rPr>
        <w:t>, Ba</w:t>
      </w:r>
      <w:r w:rsidRPr="001E6255">
        <w:rPr>
          <w:rFonts w:ascii="Arial" w:hAnsi="Arial" w:cs="Arial"/>
          <w:iCs/>
          <w:sz w:val="20"/>
          <w:szCs w:val="20"/>
          <w:vertAlign w:val="superscript"/>
        </w:rPr>
        <w:t>2+</w:t>
      </w:r>
      <w:r w:rsidRPr="001E6255">
        <w:rPr>
          <w:rFonts w:ascii="Arial" w:hAnsi="Arial" w:cs="Arial"/>
          <w:iCs/>
          <w:sz w:val="20"/>
          <w:szCs w:val="20"/>
        </w:rPr>
        <w:t>y Bi</w:t>
      </w:r>
      <w:r w:rsidRPr="001E6255">
        <w:rPr>
          <w:rFonts w:ascii="Arial" w:hAnsi="Arial" w:cs="Arial"/>
          <w:iCs/>
          <w:sz w:val="20"/>
          <w:szCs w:val="20"/>
          <w:vertAlign w:val="superscript"/>
        </w:rPr>
        <w:t>3</w:t>
      </w:r>
      <w:r w:rsidRPr="001E6255">
        <w:rPr>
          <w:rFonts w:ascii="Arial" w:hAnsi="Arial" w:cs="Arial"/>
          <w:iCs/>
          <w:sz w:val="20"/>
          <w:szCs w:val="20"/>
        </w:rPr>
        <w:t>, con la concentración del dopante, para sitios A (a) y sitios del bismuto (b).</w:t>
      </w:r>
    </w:p>
    <w:p w:rsidR="00F458EC" w:rsidRPr="001E6255" w:rsidRDefault="00F458EC" w:rsidP="00A422DC">
      <w:pPr>
        <w:pStyle w:val="Default"/>
        <w:jc w:val="both"/>
        <w:rPr>
          <w:lang w:val="es-ES"/>
        </w:rPr>
      </w:pPr>
    </w:p>
    <w:p w:rsidR="0094210F" w:rsidRDefault="0094210F" w:rsidP="006D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Las propiedades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ferroeléctricas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y piezoeléctricas fueron estudiadas, a temperatura ambiente, observándose una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fuerte influencia de la concentración de bario sobre ellas. Los lazos de histéresis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ferroeléctrica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a temperatura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ambiente mostraron lazos típicos de materiales que muestran comportamiento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normal para las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composiciones hasta 30 at% de bario. Para las composiciones con concentraciones superiores se obtuvieron lazos típicos de materiales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relajadores.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Estos resultados mostraron total concordancia con los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resultados del comportamiento dieléctrico. El compuesto con 30 at% de bario mostró las mejores propiedades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ferroeléctricas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de todos compuestos estudiados.</w:t>
      </w:r>
    </w:p>
    <w:p w:rsidR="00AC0295" w:rsidRPr="00AC0295" w:rsidRDefault="00AC0295" w:rsidP="006D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94210F" w:rsidRPr="001E6255" w:rsidRDefault="0094210F" w:rsidP="006D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Con relación a las propiedades piezoeléctricas, en todas las composiciones estudiadas se obtuvo una alta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anisotropía electromecánica entre el coeficiente electromecánico asociado al modo espesor (</w:t>
      </w:r>
      <w:proofErr w:type="spellStart"/>
      <w:r w:rsidRPr="001E6255">
        <w:rPr>
          <w:rFonts w:ascii="Arial" w:hAnsi="Arial" w:cs="Arial"/>
          <w:sz w:val="24"/>
          <w:szCs w:val="24"/>
        </w:rPr>
        <w:t>k</w:t>
      </w:r>
      <w:r w:rsidRPr="00AC0295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&gt;0) y el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correspondiente al modo radial (k</w:t>
      </w:r>
      <w:r w:rsidRPr="00AC0295">
        <w:rPr>
          <w:rFonts w:ascii="Arial" w:hAnsi="Arial" w:cs="Arial"/>
          <w:sz w:val="24"/>
          <w:szCs w:val="24"/>
          <w:vertAlign w:val="subscript"/>
        </w:rPr>
        <w:t>p</w:t>
      </w:r>
      <w:r w:rsidR="00AC0295">
        <w:rPr>
          <w:rFonts w:ascii="Arial" w:hAnsi="Arial" w:cs="Arial"/>
          <w:sz w:val="24"/>
          <w:szCs w:val="24"/>
        </w:rPr>
        <w:t>~</w:t>
      </w:r>
      <w:r w:rsidRPr="001E6255">
        <w:rPr>
          <w:rFonts w:ascii="Arial" w:hAnsi="Arial" w:cs="Arial"/>
          <w:sz w:val="24"/>
          <w:szCs w:val="24"/>
        </w:rPr>
        <w:t>0) [3]. Los coeficientes piezoeléctricos (</w:t>
      </w:r>
      <w:proofErr w:type="spellStart"/>
      <w:r w:rsidRPr="001E6255">
        <w:rPr>
          <w:rFonts w:ascii="Arial" w:hAnsi="Arial" w:cs="Arial"/>
          <w:sz w:val="24"/>
          <w:szCs w:val="24"/>
        </w:rPr>
        <w:t>k</w:t>
      </w:r>
      <w:r w:rsidRPr="00AC0295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Pr="001E6255">
        <w:rPr>
          <w:rFonts w:ascii="Arial" w:hAnsi="Arial" w:cs="Arial"/>
          <w:sz w:val="24"/>
          <w:szCs w:val="24"/>
        </w:rPr>
        <w:t>, d</w:t>
      </w:r>
      <w:r w:rsidRPr="00AC0295">
        <w:rPr>
          <w:rFonts w:ascii="Arial" w:hAnsi="Arial" w:cs="Arial"/>
          <w:sz w:val="24"/>
          <w:szCs w:val="24"/>
          <w:vertAlign w:val="subscript"/>
        </w:rPr>
        <w:t>33</w:t>
      </w:r>
      <w:r w:rsidRPr="001E6255">
        <w:rPr>
          <w:rFonts w:ascii="Arial" w:hAnsi="Arial" w:cs="Arial"/>
          <w:sz w:val="24"/>
          <w:szCs w:val="24"/>
        </w:rPr>
        <w:t>, g</w:t>
      </w:r>
      <w:r w:rsidRPr="00AC0295">
        <w:rPr>
          <w:rFonts w:ascii="Arial" w:hAnsi="Arial" w:cs="Arial"/>
          <w:sz w:val="24"/>
          <w:szCs w:val="24"/>
          <w:vertAlign w:val="subscript"/>
        </w:rPr>
        <w:t>33</w:t>
      </w:r>
      <w:r w:rsidRPr="001E6255">
        <w:rPr>
          <w:rFonts w:ascii="Arial" w:hAnsi="Arial" w:cs="Arial"/>
          <w:sz w:val="24"/>
          <w:szCs w:val="24"/>
        </w:rPr>
        <w:t>) para el modo espesor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fueron obtenidos a </w:t>
      </w:r>
      <w:r w:rsidRPr="001E6255">
        <w:rPr>
          <w:rFonts w:ascii="Arial" w:hAnsi="Arial" w:cs="Arial"/>
          <w:sz w:val="24"/>
          <w:szCs w:val="24"/>
        </w:rPr>
        <w:lastRenderedPageBreak/>
        <w:t xml:space="preserve">temperatura ambiente (Tabla 1).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Las composiciones con 15 y 30 at% de bario mostraron las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mejores propiedades piezoeléctricas</w:t>
      </w:r>
      <w:r w:rsidRPr="001E6255">
        <w:rPr>
          <w:rFonts w:ascii="Arial" w:hAnsi="Arial" w:cs="Arial"/>
          <w:sz w:val="24"/>
          <w:szCs w:val="24"/>
        </w:rPr>
        <w:t>. Para estas composiciones fue observada una contracción del volumen de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la celda respecto al compuesto puro. La disminución del volumen de la celda elemental puede generar el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incremento de las tensiones en el material y con ello favorecer el proceso de polarización.</w:t>
      </w:r>
    </w:p>
    <w:p w:rsidR="0094210F" w:rsidRPr="001E6255" w:rsidRDefault="0094210F" w:rsidP="006D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Para las composiciones con x</w:t>
      </w:r>
      <w:r w:rsidR="00AC0295">
        <w:rPr>
          <w:rFonts w:ascii="Arial" w:hAnsi="Arial" w:cs="Arial"/>
          <w:sz w:val="24"/>
          <w:szCs w:val="24"/>
        </w:rPr>
        <w:t>≥</w:t>
      </w:r>
      <w:r w:rsidRPr="001E6255">
        <w:rPr>
          <w:rFonts w:ascii="Arial" w:hAnsi="Arial" w:cs="Arial"/>
          <w:sz w:val="24"/>
          <w:szCs w:val="24"/>
        </w:rPr>
        <w:t>50 at%, la disminución de los parámetros piezoeléctricos fue explicada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considerando un mayor porciento de bario en sitios del bismuto, lo cual conduce a un incremento de la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concentración de vacancias de oxígeno en el material, dificultando el proceso de polarización. Por otra parte,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se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llevó a cabo un estudio estructural antes y después del proceso de polarización, que permitió correlacionar la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fracción de rotación de dominios, que contribuyen a la piezoelectricidad, con los resultados obtenidos para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cada una de las composiciones estudiadas.</w:t>
      </w:r>
    </w:p>
    <w:p w:rsidR="00A96893" w:rsidRPr="001E6255" w:rsidRDefault="00A96893" w:rsidP="006D5F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F458EC" w:rsidRPr="001E6255" w:rsidRDefault="0094210F" w:rsidP="008B50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255">
        <w:rPr>
          <w:rFonts w:ascii="Arial" w:hAnsi="Arial" w:cs="Arial"/>
          <w:i/>
          <w:iCs/>
          <w:sz w:val="20"/>
          <w:szCs w:val="20"/>
        </w:rPr>
        <w:t xml:space="preserve">Tabla 1- Valores de los parámetros piezoeléctricos para el modo espesor </w:t>
      </w:r>
      <w:r w:rsidRPr="001E6255">
        <w:rPr>
          <w:rFonts w:ascii="Arial" w:hAnsi="Arial" w:cs="Arial"/>
          <w:sz w:val="20"/>
          <w:szCs w:val="20"/>
        </w:rPr>
        <w:t>(</w:t>
      </w:r>
      <w:proofErr w:type="spellStart"/>
      <w:r w:rsidRPr="001E6255">
        <w:rPr>
          <w:rFonts w:ascii="Arial" w:hAnsi="Arial" w:cs="Arial"/>
          <w:sz w:val="20"/>
          <w:szCs w:val="20"/>
        </w:rPr>
        <w:t>k</w:t>
      </w:r>
      <w:r w:rsidRPr="00AC0295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1E6255">
        <w:rPr>
          <w:rFonts w:ascii="Arial" w:hAnsi="Arial" w:cs="Arial"/>
          <w:sz w:val="20"/>
          <w:szCs w:val="20"/>
        </w:rPr>
        <w:t>, d</w:t>
      </w:r>
      <w:r w:rsidRPr="00AC0295">
        <w:rPr>
          <w:rFonts w:ascii="Arial" w:hAnsi="Arial" w:cs="Arial"/>
          <w:sz w:val="20"/>
          <w:szCs w:val="20"/>
          <w:vertAlign w:val="subscript"/>
        </w:rPr>
        <w:t>33</w:t>
      </w:r>
      <w:r w:rsidRPr="001E6255">
        <w:rPr>
          <w:rFonts w:ascii="Arial" w:hAnsi="Arial" w:cs="Arial"/>
          <w:sz w:val="20"/>
          <w:szCs w:val="20"/>
        </w:rPr>
        <w:t>, g</w:t>
      </w:r>
      <w:r w:rsidRPr="00AC0295">
        <w:rPr>
          <w:rFonts w:ascii="Arial" w:hAnsi="Arial" w:cs="Arial"/>
          <w:sz w:val="20"/>
          <w:szCs w:val="20"/>
          <w:vertAlign w:val="subscript"/>
        </w:rPr>
        <w:t>33</w:t>
      </w:r>
      <w:r w:rsidRPr="001E6255">
        <w:rPr>
          <w:rFonts w:ascii="Arial" w:hAnsi="Arial" w:cs="Arial"/>
          <w:sz w:val="20"/>
          <w:szCs w:val="20"/>
        </w:rPr>
        <w:t>)</w:t>
      </w:r>
      <w:r w:rsidRPr="001E6255">
        <w:rPr>
          <w:rFonts w:ascii="Arial" w:hAnsi="Arial" w:cs="Arial"/>
          <w:i/>
          <w:iCs/>
          <w:sz w:val="20"/>
          <w:szCs w:val="20"/>
        </w:rPr>
        <w:t>, de la polarización</w:t>
      </w:r>
      <w:r w:rsidR="008B50A9" w:rsidRPr="001E62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E6255">
        <w:rPr>
          <w:rFonts w:ascii="Arial" w:hAnsi="Arial" w:cs="Arial"/>
          <w:i/>
          <w:iCs/>
          <w:sz w:val="20"/>
          <w:szCs w:val="20"/>
        </w:rPr>
        <w:t>remanente (P</w:t>
      </w:r>
      <w:r w:rsidRPr="00AC0295">
        <w:rPr>
          <w:rFonts w:ascii="Arial" w:hAnsi="Arial" w:cs="Arial"/>
          <w:sz w:val="20"/>
          <w:szCs w:val="20"/>
          <w:vertAlign w:val="subscript"/>
        </w:rPr>
        <w:t>r</w:t>
      </w:r>
      <w:r w:rsidRPr="001E6255">
        <w:rPr>
          <w:rFonts w:ascii="Arial" w:hAnsi="Arial" w:cs="Arial"/>
          <w:i/>
          <w:iCs/>
          <w:sz w:val="20"/>
          <w:szCs w:val="20"/>
        </w:rPr>
        <w:t xml:space="preserve">), el coeficiente </w:t>
      </w:r>
      <w:proofErr w:type="spellStart"/>
      <w:r w:rsidRPr="001E6255">
        <w:rPr>
          <w:rFonts w:ascii="Arial" w:hAnsi="Arial" w:cs="Arial"/>
          <w:i/>
          <w:iCs/>
          <w:sz w:val="20"/>
          <w:szCs w:val="20"/>
        </w:rPr>
        <w:t>piroeléctrico</w:t>
      </w:r>
      <w:proofErr w:type="spellEnd"/>
      <w:r w:rsidRPr="001E6255">
        <w:rPr>
          <w:rFonts w:ascii="Arial" w:hAnsi="Arial" w:cs="Arial"/>
          <w:i/>
          <w:iCs/>
          <w:sz w:val="20"/>
          <w:szCs w:val="20"/>
        </w:rPr>
        <w:t xml:space="preserve"> (p) y la figura de mérito repuesta de corriente (R</w:t>
      </w:r>
      <w:r w:rsidRPr="00AC0295">
        <w:rPr>
          <w:rFonts w:ascii="Arial" w:hAnsi="Arial" w:cs="Arial"/>
          <w:sz w:val="20"/>
          <w:szCs w:val="20"/>
          <w:vertAlign w:val="subscript"/>
        </w:rPr>
        <w:t>V</w:t>
      </w:r>
      <w:r w:rsidRPr="001E6255">
        <w:rPr>
          <w:rFonts w:ascii="Arial" w:hAnsi="Arial" w:cs="Arial"/>
          <w:i/>
          <w:iCs/>
          <w:sz w:val="20"/>
          <w:szCs w:val="20"/>
        </w:rPr>
        <w:t>), a</w:t>
      </w:r>
      <w:r w:rsidR="008B50A9" w:rsidRPr="001E62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E6255">
        <w:rPr>
          <w:rFonts w:ascii="Arial" w:hAnsi="Arial" w:cs="Arial"/>
          <w:i/>
          <w:iCs/>
          <w:sz w:val="20"/>
          <w:szCs w:val="20"/>
        </w:rPr>
        <w:t>temperatura ambiente.</w:t>
      </w:r>
    </w:p>
    <w:p w:rsidR="00A96893" w:rsidRPr="001E6255" w:rsidRDefault="00A96893" w:rsidP="00A422DC">
      <w:pPr>
        <w:pStyle w:val="Default"/>
        <w:jc w:val="both"/>
        <w:rPr>
          <w:lang w:val="es-ES"/>
        </w:rPr>
      </w:pPr>
      <w:r w:rsidRPr="001E6255">
        <w:rPr>
          <w:noProof/>
          <w:lang w:val="es-ES"/>
        </w:rPr>
        <w:drawing>
          <wp:inline distT="0" distB="0" distL="0" distR="0">
            <wp:extent cx="5936615" cy="1972310"/>
            <wp:effectExtent l="19050" t="0" r="698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6E" w:rsidRPr="001E6255" w:rsidRDefault="00DD506E" w:rsidP="008B50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Finalmente, el estudio de la corriente térmicamente estimulada fue realizado en un amplio intervalo de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temperatura [2, 4].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El método de las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Gaussianas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se utilizó satisfactoriamente para separar cada una de las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contribuciones obtenidas en el intervalo de temperatura estudiado: carga espacial, respuesta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piroeléctrica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y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procesos conductivos relacionados con vacancias de oxígeno doblemente ionizadas. </w:t>
      </w:r>
      <w:r w:rsidRPr="001E6255">
        <w:rPr>
          <w:rFonts w:ascii="Arial" w:hAnsi="Arial" w:cs="Arial"/>
          <w:sz w:val="24"/>
          <w:szCs w:val="24"/>
        </w:rPr>
        <w:t>A partir de la aplicación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de este método se obtuvo la dependencia de la corriente </w:t>
      </w:r>
      <w:proofErr w:type="spellStart"/>
      <w:r w:rsidRPr="001E6255">
        <w:rPr>
          <w:rFonts w:ascii="Arial" w:hAnsi="Arial" w:cs="Arial"/>
          <w:sz w:val="24"/>
          <w:szCs w:val="24"/>
        </w:rPr>
        <w:t>piroeléctrica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con la temperatura, y de ahí la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correspondiente para la polarización remanente, así como los parámetros </w:t>
      </w:r>
      <w:proofErr w:type="spellStart"/>
      <w:r w:rsidRPr="001E6255">
        <w:rPr>
          <w:rFonts w:ascii="Arial" w:hAnsi="Arial" w:cs="Arial"/>
          <w:sz w:val="24"/>
          <w:szCs w:val="24"/>
        </w:rPr>
        <w:t>piroeléctricos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a temperatura ambiente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(Tabla 1).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Los resultados para la polarización remanente estuvieron en concordancia con los obtenidos a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partir de la histéresis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ferroeléctrica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, validando la calidad del método numérico (método de las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Gaussianas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) utilizado para obtener la componente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piroeléctrica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. El compuesto Sr</w:t>
      </w:r>
      <w:r w:rsidRPr="00AC0295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0.70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Ba</w:t>
      </w:r>
      <w:r w:rsidRPr="00AC0295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0.30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Bi</w:t>
      </w:r>
      <w:r w:rsidRPr="00AC0295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Nb</w:t>
      </w:r>
      <w:r w:rsidRPr="00AC0295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2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AC0295">
        <w:rPr>
          <w:rFonts w:ascii="Arial" w:hAnsi="Arial" w:cs="Arial"/>
          <w:b/>
          <w:bCs/>
          <w:i/>
          <w:iCs/>
          <w:sz w:val="24"/>
          <w:szCs w:val="24"/>
          <w:vertAlign w:val="subscript"/>
        </w:rPr>
        <w:t>9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mostró las mejores</w:t>
      </w:r>
      <w:r w:rsidR="008B50A9"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propiedades </w:t>
      </w:r>
      <w:proofErr w:type="spellStart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>piroeléctricas</w:t>
      </w:r>
      <w:proofErr w:type="spellEnd"/>
      <w:r w:rsidRPr="001E6255">
        <w:rPr>
          <w:rFonts w:ascii="Arial" w:hAnsi="Arial" w:cs="Arial"/>
          <w:b/>
          <w:bCs/>
          <w:i/>
          <w:iCs/>
          <w:sz w:val="24"/>
          <w:szCs w:val="24"/>
        </w:rPr>
        <w:t xml:space="preserve"> de los compuestos estudiados.</w:t>
      </w:r>
    </w:p>
    <w:p w:rsidR="008B50A9" w:rsidRPr="001E6255" w:rsidRDefault="008B50A9" w:rsidP="00DD5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506E" w:rsidRPr="001E6255" w:rsidRDefault="00DD506E" w:rsidP="00DD5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255">
        <w:rPr>
          <w:rFonts w:ascii="Arial" w:hAnsi="Arial" w:cs="Arial"/>
          <w:b/>
          <w:sz w:val="24"/>
          <w:szCs w:val="24"/>
        </w:rPr>
        <w:t>Conclusiones</w:t>
      </w:r>
    </w:p>
    <w:p w:rsidR="00A96893" w:rsidRPr="001E6255" w:rsidRDefault="00DD506E" w:rsidP="008B50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Se estudiaron varias composiciones cerámicas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ferroeléctricas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libres de plomo. Los aportes más significativos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al conocimiento científico, que avalan la novedad y actualidad de las investigaciones realizadas, son: i.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Obtención de cerámicas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ferroeléctricas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 libres de plomo con altas densidades mediante el método cerámico,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lastRenderedPageBreak/>
        <w:t xml:space="preserve">técnica sencilla y barata; </w:t>
      </w:r>
      <w:proofErr w:type="spellStart"/>
      <w:r w:rsidRPr="001E6255">
        <w:rPr>
          <w:rFonts w:ascii="Arial" w:hAnsi="Arial" w:cs="Arial"/>
          <w:sz w:val="24"/>
          <w:szCs w:val="24"/>
        </w:rPr>
        <w:t>ii</w:t>
      </w:r>
      <w:proofErr w:type="spellEnd"/>
      <w:r w:rsidRPr="001E6255">
        <w:rPr>
          <w:rFonts w:ascii="Arial" w:hAnsi="Arial" w:cs="Arial"/>
          <w:sz w:val="24"/>
          <w:szCs w:val="24"/>
        </w:rPr>
        <w:t>. Cuantificación de la ocupación de los diferentes elementos en la estructura, tema no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reportado anteriormente para materiales de esta familia con mezcla de bario y estroncio; </w:t>
      </w:r>
      <w:proofErr w:type="spellStart"/>
      <w:r w:rsidRPr="001E6255">
        <w:rPr>
          <w:rFonts w:ascii="Arial" w:hAnsi="Arial" w:cs="Arial"/>
          <w:sz w:val="24"/>
          <w:szCs w:val="24"/>
        </w:rPr>
        <w:t>iii</w:t>
      </w:r>
      <w:proofErr w:type="spellEnd"/>
      <w:r w:rsidRPr="001E6255">
        <w:rPr>
          <w:rFonts w:ascii="Arial" w:hAnsi="Arial" w:cs="Arial"/>
          <w:sz w:val="24"/>
          <w:szCs w:val="24"/>
        </w:rPr>
        <w:t>. Aplicación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satisfactoria de un método numérico para separar las diferentes contribuciones en la corriente térmicamente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estimulada, resultados corroborados a partir de la histéresis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ferroeléctrica</w:t>
      </w:r>
      <w:proofErr w:type="spellEnd"/>
      <w:r w:rsidRPr="001E625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E6255">
        <w:rPr>
          <w:rFonts w:ascii="Arial" w:hAnsi="Arial" w:cs="Arial"/>
          <w:sz w:val="24"/>
          <w:szCs w:val="24"/>
        </w:rPr>
        <w:t>iv</w:t>
      </w:r>
      <w:proofErr w:type="spellEnd"/>
      <w:r w:rsidRPr="001E6255">
        <w:rPr>
          <w:rFonts w:ascii="Arial" w:hAnsi="Arial" w:cs="Arial"/>
          <w:sz w:val="24"/>
          <w:szCs w:val="24"/>
        </w:rPr>
        <w:t>. La metodología de la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investigación aplicada constituye un modelo en investigaciones experimentales en este campo, combinándose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técnicas modernas de análisis estructural con métodos tradicionales de caracterización de materiales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255">
        <w:rPr>
          <w:rFonts w:ascii="Arial" w:hAnsi="Arial" w:cs="Arial"/>
          <w:sz w:val="24"/>
          <w:szCs w:val="24"/>
        </w:rPr>
        <w:t>ferroeléctricos</w:t>
      </w:r>
      <w:proofErr w:type="spellEnd"/>
      <w:r w:rsidRPr="001E6255">
        <w:rPr>
          <w:rFonts w:ascii="Arial" w:hAnsi="Arial" w:cs="Arial"/>
          <w:sz w:val="24"/>
          <w:szCs w:val="24"/>
        </w:rPr>
        <w:t>, lográndose correlacionar el comportamiento macroscópico de esto materiales (dieléctrico,</w:t>
      </w:r>
      <w:r w:rsidR="008B50A9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 xml:space="preserve">piezoeléctrico y </w:t>
      </w:r>
      <w:proofErr w:type="spellStart"/>
      <w:r w:rsidRPr="001E6255">
        <w:rPr>
          <w:rFonts w:ascii="Arial" w:hAnsi="Arial" w:cs="Arial"/>
          <w:sz w:val="24"/>
          <w:szCs w:val="24"/>
        </w:rPr>
        <w:t>piroeléctrico</w:t>
      </w:r>
      <w:proofErr w:type="spellEnd"/>
      <w:r w:rsidRPr="001E6255">
        <w:rPr>
          <w:rFonts w:ascii="Arial" w:hAnsi="Arial" w:cs="Arial"/>
          <w:sz w:val="24"/>
          <w:szCs w:val="24"/>
        </w:rPr>
        <w:t>) con las particularidades de su estructura cristalina.</w:t>
      </w:r>
    </w:p>
    <w:p w:rsidR="00A422DC" w:rsidRPr="002C0BF1" w:rsidRDefault="00A422DC" w:rsidP="00A422DC">
      <w:pPr>
        <w:pStyle w:val="Default"/>
        <w:jc w:val="both"/>
        <w:rPr>
          <w:lang w:val="es-ES"/>
        </w:rPr>
      </w:pPr>
    </w:p>
    <w:p w:rsidR="00A422DC" w:rsidRPr="002C0BF1" w:rsidRDefault="00A422DC" w:rsidP="00AC56F5">
      <w:pPr>
        <w:pStyle w:val="Default"/>
        <w:rPr>
          <w:lang w:val="es-ES"/>
        </w:rPr>
      </w:pPr>
      <w:r w:rsidRPr="002C0BF1">
        <w:rPr>
          <w:b/>
          <w:bCs/>
          <w:lang w:val="es-ES"/>
        </w:rPr>
        <w:t xml:space="preserve">Referencias </w:t>
      </w:r>
    </w:p>
    <w:p w:rsidR="00DD506E" w:rsidRPr="00833DFA" w:rsidRDefault="00142B4F" w:rsidP="00AC56F5">
      <w:pPr>
        <w:pStyle w:val="Default"/>
        <w:numPr>
          <w:ilvl w:val="0"/>
          <w:numId w:val="4"/>
        </w:numPr>
        <w:spacing w:after="240"/>
        <w:ind w:left="360"/>
        <w:jc w:val="both"/>
        <w:rPr>
          <w:sz w:val="22"/>
          <w:szCs w:val="22"/>
          <w:lang w:val="es-ES"/>
        </w:rPr>
      </w:pPr>
      <w:proofErr w:type="spellStart"/>
      <w:r w:rsidRPr="00833DFA">
        <w:rPr>
          <w:sz w:val="22"/>
          <w:szCs w:val="22"/>
          <w:lang w:val="es-ES"/>
        </w:rPr>
        <w:t>Peláiz</w:t>
      </w:r>
      <w:proofErr w:type="spellEnd"/>
      <w:r w:rsidRPr="00833DFA">
        <w:rPr>
          <w:sz w:val="22"/>
          <w:szCs w:val="22"/>
          <w:lang w:val="es-ES"/>
        </w:rPr>
        <w:t>-Barranco</w:t>
      </w:r>
      <w:r w:rsidRPr="00142B4F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A., González-Abreu</w:t>
      </w:r>
      <w:r w:rsidRPr="00142B4F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Y,</w:t>
      </w:r>
      <w:r w:rsidRPr="00833DFA">
        <w:rPr>
          <w:sz w:val="22"/>
          <w:szCs w:val="22"/>
          <w:lang w:val="es-ES"/>
        </w:rPr>
        <w:t xml:space="preserve">. </w:t>
      </w:r>
      <w:r w:rsidR="00DD506E" w:rsidRPr="00833DFA">
        <w:rPr>
          <w:sz w:val="22"/>
          <w:szCs w:val="22"/>
          <w:lang w:val="es-ES"/>
        </w:rPr>
        <w:t>“</w:t>
      </w:r>
      <w:proofErr w:type="spellStart"/>
      <w:r w:rsidR="00DD506E" w:rsidRPr="00833DFA">
        <w:rPr>
          <w:sz w:val="22"/>
          <w:szCs w:val="22"/>
          <w:lang w:val="es-ES"/>
        </w:rPr>
        <w:t>Dielectric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relaxation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mechanisms</w:t>
      </w:r>
      <w:proofErr w:type="spellEnd"/>
      <w:r w:rsidR="00DD506E" w:rsidRPr="00833DFA">
        <w:rPr>
          <w:sz w:val="22"/>
          <w:szCs w:val="22"/>
          <w:lang w:val="es-ES"/>
        </w:rPr>
        <w:t xml:space="preserve"> in </w:t>
      </w:r>
      <w:proofErr w:type="spellStart"/>
      <w:r w:rsidR="00DD506E" w:rsidRPr="00833DFA">
        <w:rPr>
          <w:sz w:val="22"/>
          <w:szCs w:val="22"/>
          <w:lang w:val="es-ES"/>
        </w:rPr>
        <w:t>relaxor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bi</w:t>
      </w:r>
      <w:proofErr w:type="spellEnd"/>
      <w:r w:rsidR="00DD506E" w:rsidRPr="00833DFA">
        <w:rPr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layered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perovskites</w:t>
      </w:r>
      <w:proofErr w:type="spellEnd"/>
      <w:r w:rsidR="00DD506E" w:rsidRPr="00833DFA">
        <w:rPr>
          <w:sz w:val="22"/>
          <w:szCs w:val="22"/>
          <w:lang w:val="es-ES"/>
        </w:rPr>
        <w:t xml:space="preserve">”, </w:t>
      </w:r>
      <w:proofErr w:type="spellStart"/>
      <w:r w:rsidR="00DD506E" w:rsidRPr="00833DFA">
        <w:rPr>
          <w:sz w:val="22"/>
          <w:szCs w:val="22"/>
          <w:lang w:val="es-ES"/>
        </w:rPr>
        <w:t>Ferroelectrics</w:t>
      </w:r>
      <w:proofErr w:type="spellEnd"/>
      <w:r w:rsidR="00DD506E" w:rsidRPr="00833DFA">
        <w:rPr>
          <w:sz w:val="22"/>
          <w:szCs w:val="22"/>
          <w:lang w:val="es-ES"/>
        </w:rPr>
        <w:t xml:space="preserve"> 426 (2012) 122–131.</w:t>
      </w:r>
    </w:p>
    <w:p w:rsidR="00DD506E" w:rsidRPr="00833DFA" w:rsidRDefault="00142B4F" w:rsidP="00AC56F5">
      <w:pPr>
        <w:pStyle w:val="Default"/>
        <w:numPr>
          <w:ilvl w:val="0"/>
          <w:numId w:val="4"/>
        </w:numPr>
        <w:spacing w:before="100" w:beforeAutospacing="1" w:after="240"/>
        <w:ind w:left="360"/>
        <w:jc w:val="both"/>
        <w:rPr>
          <w:sz w:val="22"/>
          <w:szCs w:val="22"/>
          <w:lang w:val="es-ES"/>
        </w:rPr>
      </w:pPr>
      <w:r w:rsidRPr="00833DFA">
        <w:rPr>
          <w:sz w:val="22"/>
          <w:szCs w:val="22"/>
          <w:lang w:val="es-ES"/>
        </w:rPr>
        <w:t>González-Abreu</w:t>
      </w:r>
      <w:r w:rsidRPr="00142B4F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Y., </w:t>
      </w:r>
      <w:proofErr w:type="spellStart"/>
      <w:r w:rsidRPr="00833DFA">
        <w:rPr>
          <w:sz w:val="22"/>
          <w:szCs w:val="22"/>
          <w:lang w:val="es-ES"/>
        </w:rPr>
        <w:t>Peláiz</w:t>
      </w:r>
      <w:proofErr w:type="spellEnd"/>
      <w:r w:rsidRPr="00833DFA">
        <w:rPr>
          <w:sz w:val="22"/>
          <w:szCs w:val="22"/>
          <w:lang w:val="es-ES"/>
        </w:rPr>
        <w:t>-Barranco</w:t>
      </w:r>
      <w:r w:rsidRPr="00142B4F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A., </w:t>
      </w:r>
      <w:proofErr w:type="spellStart"/>
      <w:r w:rsidRPr="00833DFA">
        <w:rPr>
          <w:sz w:val="22"/>
          <w:szCs w:val="22"/>
          <w:lang w:val="es-ES"/>
        </w:rPr>
        <w:t>Garcia-Wong</w:t>
      </w:r>
      <w:proofErr w:type="spellEnd"/>
      <w:r w:rsidRPr="00142B4F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A. C., Guerra</w:t>
      </w:r>
      <w:r w:rsidRPr="00142B4F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J. D. S. </w:t>
      </w:r>
      <w:r w:rsidR="00DD506E" w:rsidRPr="00833DFA">
        <w:rPr>
          <w:sz w:val="22"/>
          <w:szCs w:val="22"/>
          <w:lang w:val="es-ES"/>
        </w:rPr>
        <w:t>“</w:t>
      </w:r>
      <w:proofErr w:type="spellStart"/>
      <w:r w:rsidR="00DD506E" w:rsidRPr="00833DFA">
        <w:rPr>
          <w:sz w:val="22"/>
          <w:szCs w:val="22"/>
          <w:lang w:val="es-ES"/>
        </w:rPr>
        <w:t>The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pyroelectric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behavior</w:t>
      </w:r>
      <w:proofErr w:type="spellEnd"/>
      <w:r w:rsidR="00DD506E" w:rsidRPr="00833DFA">
        <w:rPr>
          <w:sz w:val="22"/>
          <w:szCs w:val="22"/>
          <w:lang w:val="es-ES"/>
        </w:rPr>
        <w:t xml:space="preserve"> of lead free </w:t>
      </w:r>
      <w:proofErr w:type="spellStart"/>
      <w:r w:rsidR="00DD506E" w:rsidRPr="00833DFA">
        <w:rPr>
          <w:sz w:val="22"/>
          <w:szCs w:val="22"/>
          <w:lang w:val="es-ES"/>
        </w:rPr>
        <w:t>ferroelectric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ceramics</w:t>
      </w:r>
      <w:proofErr w:type="spellEnd"/>
      <w:r w:rsidR="00DD506E" w:rsidRPr="00833DFA">
        <w:rPr>
          <w:sz w:val="22"/>
          <w:szCs w:val="22"/>
          <w:lang w:val="es-ES"/>
        </w:rPr>
        <w:t xml:space="preserve"> in </w:t>
      </w:r>
      <w:proofErr w:type="spellStart"/>
      <w:r w:rsidR="00DD506E" w:rsidRPr="00833DFA">
        <w:rPr>
          <w:sz w:val="22"/>
          <w:szCs w:val="22"/>
          <w:lang w:val="es-ES"/>
        </w:rPr>
        <w:t>thermally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stimulated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r w:rsidR="00833DFA"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depolarization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current</w:t>
      </w:r>
      <w:proofErr w:type="spellEnd"/>
      <w:r w:rsidR="00833DFA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measurements</w:t>
      </w:r>
      <w:proofErr w:type="spellEnd"/>
      <w:r w:rsidR="00DD506E" w:rsidRPr="00833DFA">
        <w:rPr>
          <w:sz w:val="22"/>
          <w:szCs w:val="22"/>
          <w:lang w:val="es-ES"/>
        </w:rPr>
        <w:t xml:space="preserve">”, </w:t>
      </w:r>
      <w:proofErr w:type="spellStart"/>
      <w:r w:rsidR="00DD506E" w:rsidRPr="00833DFA">
        <w:rPr>
          <w:sz w:val="22"/>
          <w:szCs w:val="22"/>
          <w:lang w:val="es-ES"/>
        </w:rPr>
        <w:t>Journal</w:t>
      </w:r>
      <w:proofErr w:type="spellEnd"/>
      <w:r w:rsidR="00DD506E" w:rsidRPr="00833DFA">
        <w:rPr>
          <w:sz w:val="22"/>
          <w:szCs w:val="22"/>
          <w:lang w:val="es-ES"/>
        </w:rPr>
        <w:t xml:space="preserve"> of</w:t>
      </w:r>
      <w:r w:rsidR="00833DFA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Applied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Physics</w:t>
      </w:r>
      <w:proofErr w:type="spellEnd"/>
      <w:r w:rsidR="00DD506E" w:rsidRPr="00833DFA">
        <w:rPr>
          <w:sz w:val="22"/>
          <w:szCs w:val="22"/>
          <w:lang w:val="es-ES"/>
        </w:rPr>
        <w:t xml:space="preserve"> 111 (2012) 124102.</w:t>
      </w:r>
    </w:p>
    <w:p w:rsidR="00DD506E" w:rsidRPr="00833DFA" w:rsidRDefault="00082144" w:rsidP="00AC56F5">
      <w:pPr>
        <w:pStyle w:val="Default"/>
        <w:numPr>
          <w:ilvl w:val="0"/>
          <w:numId w:val="4"/>
        </w:numPr>
        <w:spacing w:before="100" w:beforeAutospacing="1" w:after="240"/>
        <w:ind w:left="360"/>
        <w:jc w:val="both"/>
        <w:rPr>
          <w:sz w:val="22"/>
          <w:szCs w:val="22"/>
          <w:lang w:val="es-ES"/>
        </w:rPr>
      </w:pPr>
      <w:r w:rsidRPr="00833DFA">
        <w:rPr>
          <w:sz w:val="22"/>
          <w:szCs w:val="22"/>
          <w:lang w:val="es-ES"/>
        </w:rPr>
        <w:t>González-Abreu</w:t>
      </w:r>
      <w:r w:rsidRPr="00082144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Y., </w:t>
      </w:r>
      <w:proofErr w:type="spellStart"/>
      <w:r w:rsidRPr="00833DFA">
        <w:rPr>
          <w:sz w:val="22"/>
          <w:szCs w:val="22"/>
          <w:lang w:val="es-ES"/>
        </w:rPr>
        <w:t>Peláiz</w:t>
      </w:r>
      <w:proofErr w:type="spellEnd"/>
      <w:r w:rsidRPr="00833DFA">
        <w:rPr>
          <w:sz w:val="22"/>
          <w:szCs w:val="22"/>
          <w:lang w:val="es-ES"/>
        </w:rPr>
        <w:t>-Barranco</w:t>
      </w:r>
      <w:r w:rsidRPr="00082144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A., Guerra</w:t>
      </w:r>
      <w:r w:rsidRPr="00082144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J. D. S., Saint-</w:t>
      </w:r>
      <w:proofErr w:type="spellStart"/>
      <w:r w:rsidRPr="00833DFA">
        <w:rPr>
          <w:sz w:val="22"/>
          <w:szCs w:val="22"/>
          <w:lang w:val="es-ES"/>
        </w:rPr>
        <w:t>Grégoire</w:t>
      </w:r>
      <w:proofErr w:type="spellEnd"/>
      <w:r w:rsidRPr="00082144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P.. </w:t>
      </w:r>
      <w:r w:rsidR="00DD506E" w:rsidRPr="00833DFA">
        <w:rPr>
          <w:sz w:val="22"/>
          <w:szCs w:val="22"/>
          <w:lang w:val="es-ES"/>
        </w:rPr>
        <w:t>“</w:t>
      </w:r>
      <w:proofErr w:type="spellStart"/>
      <w:r w:rsidR="00DD506E" w:rsidRPr="00833DFA">
        <w:rPr>
          <w:sz w:val="22"/>
          <w:szCs w:val="22"/>
          <w:lang w:val="es-ES"/>
        </w:rPr>
        <w:t>Piezoelectric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behavior</w:t>
      </w:r>
      <w:proofErr w:type="spellEnd"/>
      <w:r w:rsidR="00DD506E" w:rsidRPr="00833DFA">
        <w:rPr>
          <w:sz w:val="22"/>
          <w:szCs w:val="22"/>
          <w:lang w:val="es-ES"/>
        </w:rPr>
        <w:t xml:space="preserve"> in Sr1-xBaxBi2Nb2O9 </w:t>
      </w:r>
      <w:proofErr w:type="spellStart"/>
      <w:r w:rsidR="00DD506E" w:rsidRPr="00833DFA">
        <w:rPr>
          <w:sz w:val="22"/>
          <w:szCs w:val="22"/>
          <w:lang w:val="es-ES"/>
        </w:rPr>
        <w:t>Aurivillius-type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structure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ferroelectric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r w:rsidR="00833DFA"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ceramics</w:t>
      </w:r>
      <w:proofErr w:type="spellEnd"/>
      <w:r w:rsidR="00DD506E" w:rsidRPr="00833DFA">
        <w:rPr>
          <w:sz w:val="22"/>
          <w:szCs w:val="22"/>
          <w:lang w:val="es-ES"/>
        </w:rPr>
        <w:t xml:space="preserve">”, </w:t>
      </w:r>
      <w:r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Physica</w:t>
      </w:r>
      <w:proofErr w:type="spellEnd"/>
      <w:r w:rsidR="00DD506E" w:rsidRPr="00833DFA">
        <w:rPr>
          <w:sz w:val="22"/>
          <w:szCs w:val="22"/>
          <w:lang w:val="es-ES"/>
        </w:rPr>
        <w:t xml:space="preserve"> Status </w:t>
      </w:r>
      <w:proofErr w:type="spellStart"/>
      <w:r w:rsidR="00DD506E" w:rsidRPr="00833DFA">
        <w:rPr>
          <w:sz w:val="22"/>
          <w:szCs w:val="22"/>
          <w:lang w:val="es-ES"/>
        </w:rPr>
        <w:t>Solidi</w:t>
      </w:r>
      <w:proofErr w:type="spellEnd"/>
      <w:r w:rsidR="00DD506E" w:rsidRPr="00833DFA">
        <w:rPr>
          <w:sz w:val="22"/>
          <w:szCs w:val="22"/>
          <w:lang w:val="es-ES"/>
        </w:rPr>
        <w:t xml:space="preserve"> (b) 250, No. 8 (2013) 1551–1555.</w:t>
      </w:r>
    </w:p>
    <w:p w:rsidR="00833DFA" w:rsidRPr="00833DFA" w:rsidRDefault="00AC56F5" w:rsidP="00AC56F5">
      <w:pPr>
        <w:pStyle w:val="Default"/>
        <w:numPr>
          <w:ilvl w:val="0"/>
          <w:numId w:val="4"/>
        </w:numPr>
        <w:spacing w:before="100" w:beforeAutospacing="1" w:after="240"/>
        <w:ind w:left="360"/>
        <w:jc w:val="both"/>
        <w:rPr>
          <w:sz w:val="22"/>
          <w:szCs w:val="22"/>
          <w:lang w:val="es-ES"/>
        </w:rPr>
      </w:pPr>
      <w:proofErr w:type="spellStart"/>
      <w:r w:rsidRPr="00833DFA">
        <w:rPr>
          <w:sz w:val="22"/>
          <w:szCs w:val="22"/>
          <w:lang w:val="es-ES"/>
        </w:rPr>
        <w:t>Peláiz</w:t>
      </w:r>
      <w:proofErr w:type="spellEnd"/>
      <w:r w:rsidRPr="00833DFA">
        <w:rPr>
          <w:sz w:val="22"/>
          <w:szCs w:val="22"/>
          <w:lang w:val="es-ES"/>
        </w:rPr>
        <w:t>-Barranco</w:t>
      </w:r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A., González-Abreu</w:t>
      </w:r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Y. </w:t>
      </w:r>
      <w:r w:rsidR="00DD506E" w:rsidRPr="00833DFA">
        <w:rPr>
          <w:sz w:val="22"/>
          <w:szCs w:val="22"/>
          <w:lang w:val="es-ES"/>
        </w:rPr>
        <w:t>REVIEW: “</w:t>
      </w:r>
      <w:proofErr w:type="spellStart"/>
      <w:r w:rsidR="00DD506E" w:rsidRPr="00833DFA">
        <w:rPr>
          <w:sz w:val="22"/>
          <w:szCs w:val="22"/>
          <w:lang w:val="es-ES"/>
        </w:rPr>
        <w:t>Ferroelectric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ceramic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materials</w:t>
      </w:r>
      <w:proofErr w:type="spellEnd"/>
      <w:r w:rsidR="00DD506E" w:rsidRPr="00833DFA">
        <w:rPr>
          <w:sz w:val="22"/>
          <w:szCs w:val="22"/>
          <w:lang w:val="es-ES"/>
        </w:rPr>
        <w:t xml:space="preserve"> of </w:t>
      </w:r>
      <w:proofErr w:type="spellStart"/>
      <w:r w:rsidR="00DD506E" w:rsidRPr="00833DFA">
        <w:rPr>
          <w:sz w:val="22"/>
          <w:szCs w:val="22"/>
          <w:lang w:val="es-ES"/>
        </w:rPr>
        <w:t>the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Aurivillius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family</w:t>
      </w:r>
      <w:proofErr w:type="spellEnd"/>
      <w:r w:rsidR="00DD506E" w:rsidRPr="00833DFA">
        <w:rPr>
          <w:sz w:val="22"/>
          <w:szCs w:val="22"/>
          <w:lang w:val="es-ES"/>
        </w:rPr>
        <w:t xml:space="preserve">”, </w:t>
      </w:r>
      <w:proofErr w:type="spellStart"/>
      <w:r w:rsidR="00DD506E" w:rsidRPr="00833DFA">
        <w:rPr>
          <w:sz w:val="22"/>
          <w:szCs w:val="22"/>
          <w:lang w:val="es-ES"/>
        </w:rPr>
        <w:t>Journal</w:t>
      </w:r>
      <w:proofErr w:type="spellEnd"/>
      <w:r w:rsidR="00DD506E" w:rsidRPr="00833DFA">
        <w:rPr>
          <w:sz w:val="22"/>
          <w:szCs w:val="22"/>
          <w:lang w:val="es-ES"/>
        </w:rPr>
        <w:t xml:space="preserve"> of </w:t>
      </w:r>
      <w:proofErr w:type="spellStart"/>
      <w:r w:rsidR="00DD506E" w:rsidRPr="00833DFA">
        <w:rPr>
          <w:sz w:val="22"/>
          <w:szCs w:val="22"/>
          <w:lang w:val="es-ES"/>
        </w:rPr>
        <w:t>Advanced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Dielectrics</w:t>
      </w:r>
      <w:proofErr w:type="spellEnd"/>
      <w:r w:rsidR="00DD506E" w:rsidRPr="00833DFA">
        <w:rPr>
          <w:sz w:val="22"/>
          <w:szCs w:val="22"/>
          <w:lang w:val="es-ES"/>
        </w:rPr>
        <w:t xml:space="preserve"> 3, No. 4 (2013) 1330003.</w:t>
      </w:r>
    </w:p>
    <w:p w:rsidR="00DD506E" w:rsidRPr="00833DFA" w:rsidRDefault="00AC56F5" w:rsidP="00AC56F5">
      <w:pPr>
        <w:pStyle w:val="Default"/>
        <w:numPr>
          <w:ilvl w:val="0"/>
          <w:numId w:val="4"/>
        </w:numPr>
        <w:spacing w:before="100" w:beforeAutospacing="1" w:after="240"/>
        <w:ind w:left="360"/>
        <w:jc w:val="both"/>
        <w:rPr>
          <w:sz w:val="22"/>
          <w:szCs w:val="22"/>
          <w:lang w:val="es-ES"/>
        </w:rPr>
      </w:pPr>
      <w:r w:rsidRPr="00833DFA">
        <w:rPr>
          <w:sz w:val="22"/>
          <w:szCs w:val="22"/>
          <w:lang w:val="es-ES"/>
        </w:rPr>
        <w:t>González-Abreu</w:t>
      </w:r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Y., </w:t>
      </w:r>
      <w:proofErr w:type="spellStart"/>
      <w:r w:rsidRPr="00833DFA">
        <w:rPr>
          <w:sz w:val="22"/>
          <w:szCs w:val="22"/>
          <w:lang w:val="es-ES"/>
        </w:rPr>
        <w:t>Peláiz</w:t>
      </w:r>
      <w:proofErr w:type="spellEnd"/>
      <w:r w:rsidRPr="00833DFA">
        <w:rPr>
          <w:sz w:val="22"/>
          <w:szCs w:val="22"/>
          <w:lang w:val="es-ES"/>
        </w:rPr>
        <w:t>-Barranco</w:t>
      </w:r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A., Guerra</w:t>
      </w:r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J. D. S., </w:t>
      </w:r>
      <w:proofErr w:type="spellStart"/>
      <w:r w:rsidRPr="00833DFA">
        <w:rPr>
          <w:sz w:val="22"/>
          <w:szCs w:val="22"/>
          <w:lang w:val="es-ES"/>
        </w:rPr>
        <w:t>Gagou</w:t>
      </w:r>
      <w:proofErr w:type="spellEnd"/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>Y., Saint-</w:t>
      </w:r>
      <w:proofErr w:type="spellStart"/>
      <w:r w:rsidRPr="00833DFA">
        <w:rPr>
          <w:sz w:val="22"/>
          <w:szCs w:val="22"/>
          <w:lang w:val="es-ES"/>
        </w:rPr>
        <w:t>Grégoire</w:t>
      </w:r>
      <w:proofErr w:type="spellEnd"/>
      <w:r w:rsidRPr="00AC56F5">
        <w:rPr>
          <w:sz w:val="22"/>
          <w:szCs w:val="22"/>
          <w:lang w:val="es-ES"/>
        </w:rPr>
        <w:t xml:space="preserve"> </w:t>
      </w:r>
      <w:r w:rsidRPr="00833DFA">
        <w:rPr>
          <w:sz w:val="22"/>
          <w:szCs w:val="22"/>
          <w:lang w:val="es-ES"/>
        </w:rPr>
        <w:t xml:space="preserve">P.. </w:t>
      </w:r>
      <w:r w:rsidR="00DD506E" w:rsidRPr="00833DFA">
        <w:rPr>
          <w:sz w:val="22"/>
          <w:szCs w:val="22"/>
          <w:lang w:val="es-ES"/>
        </w:rPr>
        <w:t>“</w:t>
      </w:r>
      <w:proofErr w:type="spellStart"/>
      <w:r w:rsidR="00DD506E" w:rsidRPr="00833DFA">
        <w:rPr>
          <w:sz w:val="22"/>
          <w:szCs w:val="22"/>
          <w:lang w:val="es-ES"/>
        </w:rPr>
        <w:t>From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ab/>
      </w:r>
      <w:r w:rsidR="00DD506E" w:rsidRPr="00833DFA">
        <w:rPr>
          <w:sz w:val="22"/>
          <w:szCs w:val="22"/>
          <w:lang w:val="es-ES"/>
        </w:rPr>
        <w:t xml:space="preserve">normal </w:t>
      </w:r>
      <w:proofErr w:type="spellStart"/>
      <w:r w:rsidR="00DD506E" w:rsidRPr="00833DFA">
        <w:rPr>
          <w:sz w:val="22"/>
          <w:szCs w:val="22"/>
          <w:lang w:val="es-ES"/>
        </w:rPr>
        <w:t>ferroelectric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transition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to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relaxor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behavior</w:t>
      </w:r>
      <w:proofErr w:type="spellEnd"/>
      <w:r w:rsidR="00DD506E" w:rsidRPr="00833DFA">
        <w:rPr>
          <w:sz w:val="22"/>
          <w:szCs w:val="22"/>
          <w:lang w:val="es-ES"/>
        </w:rPr>
        <w:t xml:space="preserve"> in </w:t>
      </w:r>
      <w:proofErr w:type="spellStart"/>
      <w:r w:rsidR="00DD506E" w:rsidRPr="00833DFA">
        <w:rPr>
          <w:sz w:val="22"/>
          <w:szCs w:val="22"/>
          <w:lang w:val="es-ES"/>
        </w:rPr>
        <w:t>Aurivillius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ferroelectric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ceramics</w:t>
      </w:r>
      <w:proofErr w:type="spellEnd"/>
      <w:r w:rsidR="00DD506E" w:rsidRPr="00833DFA">
        <w:rPr>
          <w:sz w:val="22"/>
          <w:szCs w:val="22"/>
          <w:lang w:val="es-ES"/>
        </w:rPr>
        <w:t xml:space="preserve">”, </w:t>
      </w:r>
      <w:r>
        <w:rPr>
          <w:sz w:val="22"/>
          <w:szCs w:val="22"/>
          <w:lang w:val="es-ES"/>
        </w:rPr>
        <w:tab/>
      </w:r>
      <w:proofErr w:type="spellStart"/>
      <w:r w:rsidR="00DD506E" w:rsidRPr="00833DFA">
        <w:rPr>
          <w:sz w:val="22"/>
          <w:szCs w:val="22"/>
          <w:lang w:val="es-ES"/>
        </w:rPr>
        <w:t>Journal</w:t>
      </w:r>
      <w:proofErr w:type="spellEnd"/>
      <w:r w:rsidR="00DD506E" w:rsidRPr="00833DFA">
        <w:rPr>
          <w:sz w:val="22"/>
          <w:szCs w:val="22"/>
          <w:lang w:val="es-ES"/>
        </w:rPr>
        <w:t xml:space="preserve"> of </w:t>
      </w:r>
      <w:proofErr w:type="spellStart"/>
      <w:r w:rsidR="00DD506E" w:rsidRPr="00833DFA">
        <w:rPr>
          <w:sz w:val="22"/>
          <w:szCs w:val="22"/>
          <w:lang w:val="es-ES"/>
        </w:rPr>
        <w:t>Materials</w:t>
      </w:r>
      <w:proofErr w:type="spellEnd"/>
      <w:r w:rsidR="00DD506E" w:rsidRPr="00833DFA">
        <w:rPr>
          <w:sz w:val="22"/>
          <w:szCs w:val="22"/>
          <w:lang w:val="es-ES"/>
        </w:rPr>
        <w:t xml:space="preserve"> </w:t>
      </w:r>
      <w:proofErr w:type="spellStart"/>
      <w:r w:rsidR="00DD506E" w:rsidRPr="00833DFA">
        <w:rPr>
          <w:sz w:val="22"/>
          <w:szCs w:val="22"/>
          <w:lang w:val="es-ES"/>
        </w:rPr>
        <w:t>Science</w:t>
      </w:r>
      <w:proofErr w:type="spellEnd"/>
      <w:r w:rsidR="00DD506E" w:rsidRPr="00833DFA">
        <w:rPr>
          <w:sz w:val="22"/>
          <w:szCs w:val="22"/>
          <w:lang w:val="es-ES"/>
        </w:rPr>
        <w:t xml:space="preserve"> 49 (2014)</w:t>
      </w:r>
      <w:r w:rsidR="00833DFA" w:rsidRPr="00833DFA">
        <w:rPr>
          <w:sz w:val="22"/>
          <w:szCs w:val="22"/>
          <w:lang w:val="es-ES"/>
        </w:rPr>
        <w:t xml:space="preserve"> </w:t>
      </w:r>
      <w:r w:rsidR="00DD506E" w:rsidRPr="00833DFA">
        <w:rPr>
          <w:sz w:val="22"/>
          <w:szCs w:val="22"/>
          <w:lang w:val="es-ES"/>
        </w:rPr>
        <w:t>7437–7444.</w:t>
      </w:r>
    </w:p>
    <w:sectPr w:rsidR="00DD506E" w:rsidRPr="00833DFA" w:rsidSect="006D4B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1E6B"/>
    <w:multiLevelType w:val="hybridMultilevel"/>
    <w:tmpl w:val="3F30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9FA"/>
    <w:multiLevelType w:val="hybridMultilevel"/>
    <w:tmpl w:val="6BE48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0F9"/>
    <w:multiLevelType w:val="hybridMultilevel"/>
    <w:tmpl w:val="4AE6E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537"/>
    <w:multiLevelType w:val="hybridMultilevel"/>
    <w:tmpl w:val="EF486196"/>
    <w:lvl w:ilvl="0" w:tplc="75ACE35C">
      <w:start w:val="1"/>
      <w:numFmt w:val="decimal"/>
      <w:lvlText w:val="[%1] "/>
      <w:lvlJc w:val="left"/>
      <w:pPr>
        <w:tabs>
          <w:tab w:val="num" w:pos="85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characterSpacingControl w:val="doNotCompress"/>
  <w:compat/>
  <w:rsids>
    <w:rsidRoot w:val="009424FA"/>
    <w:rsid w:val="00047DCD"/>
    <w:rsid w:val="00056800"/>
    <w:rsid w:val="00082144"/>
    <w:rsid w:val="000D67A9"/>
    <w:rsid w:val="0010715A"/>
    <w:rsid w:val="00126786"/>
    <w:rsid w:val="00142B4F"/>
    <w:rsid w:val="00171245"/>
    <w:rsid w:val="001A6075"/>
    <w:rsid w:val="001E6255"/>
    <w:rsid w:val="001F619A"/>
    <w:rsid w:val="002031A7"/>
    <w:rsid w:val="002734D8"/>
    <w:rsid w:val="002C0BF1"/>
    <w:rsid w:val="00336465"/>
    <w:rsid w:val="00397142"/>
    <w:rsid w:val="003E2572"/>
    <w:rsid w:val="0044031D"/>
    <w:rsid w:val="00473E9F"/>
    <w:rsid w:val="005268FA"/>
    <w:rsid w:val="00570D73"/>
    <w:rsid w:val="0062085F"/>
    <w:rsid w:val="00655573"/>
    <w:rsid w:val="00677C62"/>
    <w:rsid w:val="006D5F36"/>
    <w:rsid w:val="006E4237"/>
    <w:rsid w:val="00782782"/>
    <w:rsid w:val="00800626"/>
    <w:rsid w:val="00820DE9"/>
    <w:rsid w:val="00833DFA"/>
    <w:rsid w:val="00855076"/>
    <w:rsid w:val="008B50A9"/>
    <w:rsid w:val="008F1D4C"/>
    <w:rsid w:val="00926561"/>
    <w:rsid w:val="0094210F"/>
    <w:rsid w:val="009424FA"/>
    <w:rsid w:val="00974061"/>
    <w:rsid w:val="009B3F29"/>
    <w:rsid w:val="00A422DC"/>
    <w:rsid w:val="00A56A7A"/>
    <w:rsid w:val="00A67E98"/>
    <w:rsid w:val="00A96893"/>
    <w:rsid w:val="00A974E2"/>
    <w:rsid w:val="00AC0295"/>
    <w:rsid w:val="00AC56F5"/>
    <w:rsid w:val="00AE7DE8"/>
    <w:rsid w:val="00AF1447"/>
    <w:rsid w:val="00B23DCA"/>
    <w:rsid w:val="00BF14FC"/>
    <w:rsid w:val="00CB4135"/>
    <w:rsid w:val="00D06B30"/>
    <w:rsid w:val="00D21D4A"/>
    <w:rsid w:val="00D63093"/>
    <w:rsid w:val="00D82F3A"/>
    <w:rsid w:val="00D91DB3"/>
    <w:rsid w:val="00DB71E5"/>
    <w:rsid w:val="00DD2BC8"/>
    <w:rsid w:val="00DD506E"/>
    <w:rsid w:val="00DE541E"/>
    <w:rsid w:val="00F458EC"/>
    <w:rsid w:val="00FA7C55"/>
    <w:rsid w:val="00FC0CDA"/>
    <w:rsid w:val="00FE65E3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D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2DC"/>
    <w:pPr>
      <w:ind w:left="720"/>
      <w:contextualSpacing/>
    </w:pPr>
  </w:style>
  <w:style w:type="paragraph" w:customStyle="1" w:styleId="Default">
    <w:name w:val="Default"/>
    <w:rsid w:val="00A4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BF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&#250;s\Documents\-%20-%20-%20-%20Academia\Anales\Separata%20Anales%20-%20PlantillaSinEncabez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0F5F-DD97-43C2-AE59-EA61B94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Separata Anales - PlantillaSinEncabezado.dotx</Template>
  <TotalTime>168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25</cp:revision>
  <dcterms:created xsi:type="dcterms:W3CDTF">2016-02-07T07:24:00Z</dcterms:created>
  <dcterms:modified xsi:type="dcterms:W3CDTF">2016-02-08T02:02:00Z</dcterms:modified>
</cp:coreProperties>
</file>